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8" w:type="dxa"/>
        <w:jc w:val="center"/>
        <w:tblLayout w:type="fixed"/>
        <w:tblLook w:val="0000"/>
      </w:tblPr>
      <w:tblGrid>
        <w:gridCol w:w="2844"/>
        <w:gridCol w:w="6244"/>
      </w:tblGrid>
      <w:tr w:rsidR="00314CE6" w:rsidRPr="002311BE">
        <w:trPr>
          <w:jc w:val="center"/>
        </w:trPr>
        <w:tc>
          <w:tcPr>
            <w:tcW w:w="2844" w:type="dxa"/>
          </w:tcPr>
          <w:p w:rsidR="00314CE6" w:rsidRPr="006540F9" w:rsidRDefault="00314CE6" w:rsidP="00972DAE">
            <w:pPr>
              <w:jc w:val="center"/>
              <w:rPr>
                <w:b/>
                <w:bCs/>
                <w:sz w:val="28"/>
                <w:szCs w:val="28"/>
                <w:lang w:val="nl-NL"/>
              </w:rPr>
            </w:pPr>
            <w:r w:rsidRPr="006540F9">
              <w:rPr>
                <w:b/>
                <w:bCs/>
                <w:sz w:val="26"/>
                <w:szCs w:val="28"/>
                <w:lang w:val="nl-NL"/>
              </w:rPr>
              <w:t>BỘ TÀI CHÍNH</w:t>
            </w:r>
          </w:p>
          <w:p w:rsidR="00271A8C" w:rsidRDefault="00271A8C" w:rsidP="00972DAE">
            <w:pPr>
              <w:jc w:val="center"/>
              <w:rPr>
                <w:sz w:val="26"/>
                <w:szCs w:val="26"/>
                <w:lang w:val="nl-NL"/>
              </w:rPr>
            </w:pPr>
            <w:r>
              <w:rPr>
                <w:noProof/>
              </w:rPr>
              <w:pict>
                <v:line id="_x0000_s1031" style="position:absolute;left:0;text-align:left;z-index:251657728" from="42.1pt,4.55pt" to="87.1pt,4.55pt"/>
              </w:pict>
            </w:r>
          </w:p>
          <w:p w:rsidR="00314CE6" w:rsidRPr="006540F9" w:rsidRDefault="00271A8C" w:rsidP="00972DAE">
            <w:pPr>
              <w:jc w:val="center"/>
              <w:rPr>
                <w:lang w:val="nl-NL"/>
              </w:rPr>
            </w:pPr>
            <w:r w:rsidRPr="00314CE6">
              <w:rPr>
                <w:sz w:val="26"/>
                <w:szCs w:val="26"/>
                <w:lang w:val="nl-NL"/>
              </w:rPr>
              <w:t>Số: 151/2012/TT-BTC</w:t>
            </w:r>
          </w:p>
        </w:tc>
        <w:tc>
          <w:tcPr>
            <w:tcW w:w="6244" w:type="dxa"/>
          </w:tcPr>
          <w:p w:rsidR="00314CE6" w:rsidRPr="006540F9" w:rsidRDefault="00314CE6" w:rsidP="00972DAE">
            <w:pPr>
              <w:jc w:val="center"/>
              <w:rPr>
                <w:b/>
                <w:bCs/>
                <w:sz w:val="28"/>
                <w:szCs w:val="28"/>
                <w:lang w:val="nl-NL"/>
              </w:rPr>
            </w:pPr>
            <w:r w:rsidRPr="006540F9">
              <w:rPr>
                <w:b/>
                <w:bCs/>
                <w:sz w:val="26"/>
                <w:szCs w:val="28"/>
                <w:lang w:val="nl-NL"/>
              </w:rPr>
              <w:t>CỘNG HÒA XÃ HỘI CHỦ NGHĨA VIỆT NAM</w:t>
            </w:r>
          </w:p>
          <w:p w:rsidR="00314CE6" w:rsidRDefault="00314CE6" w:rsidP="00972DAE">
            <w:pPr>
              <w:jc w:val="center"/>
              <w:rPr>
                <w:b/>
                <w:bCs/>
                <w:sz w:val="28"/>
                <w:szCs w:val="28"/>
                <w:lang w:val="nl-NL"/>
              </w:rPr>
            </w:pPr>
            <w:r w:rsidRPr="002311BE">
              <w:rPr>
                <w:b/>
                <w:bCs/>
                <w:sz w:val="28"/>
                <w:szCs w:val="28"/>
                <w:lang w:val="nl-NL"/>
              </w:rPr>
              <w:t>Độc lập - Tự do - Hạnh phúc</w:t>
            </w:r>
          </w:p>
          <w:p w:rsidR="00314CE6" w:rsidRPr="002311BE" w:rsidRDefault="00314CE6" w:rsidP="00972DAE">
            <w:pPr>
              <w:jc w:val="center"/>
              <w:rPr>
                <w:b/>
                <w:sz w:val="28"/>
                <w:szCs w:val="28"/>
                <w:lang w:val="nl-NL"/>
              </w:rPr>
            </w:pPr>
            <w:r>
              <w:rPr>
                <w:b/>
                <w:noProof/>
                <w:sz w:val="28"/>
                <w:szCs w:val="28"/>
              </w:rPr>
              <w:pict>
                <v:line id="_x0000_s1030" style="position:absolute;left:0;text-align:left;z-index:251656704" from="64.4pt,2.7pt" to="235.4pt,2.7pt"/>
              </w:pict>
            </w:r>
          </w:p>
        </w:tc>
      </w:tr>
      <w:tr w:rsidR="00314CE6" w:rsidRPr="00314CE6">
        <w:trPr>
          <w:jc w:val="center"/>
        </w:trPr>
        <w:tc>
          <w:tcPr>
            <w:tcW w:w="2844" w:type="dxa"/>
          </w:tcPr>
          <w:p w:rsidR="00314CE6" w:rsidRPr="00314CE6" w:rsidRDefault="00314CE6" w:rsidP="00972DAE">
            <w:pPr>
              <w:jc w:val="center"/>
              <w:rPr>
                <w:b/>
                <w:bCs/>
                <w:sz w:val="26"/>
                <w:szCs w:val="26"/>
                <w:lang w:val="nl-NL"/>
              </w:rPr>
            </w:pPr>
          </w:p>
        </w:tc>
        <w:tc>
          <w:tcPr>
            <w:tcW w:w="6244" w:type="dxa"/>
          </w:tcPr>
          <w:p w:rsidR="00314CE6" w:rsidRPr="00314CE6" w:rsidRDefault="00314CE6" w:rsidP="00314CE6">
            <w:pPr>
              <w:jc w:val="center"/>
              <w:rPr>
                <w:bCs/>
                <w:i/>
                <w:lang w:val="nl-NL"/>
              </w:rPr>
            </w:pPr>
            <w:r w:rsidRPr="00314CE6">
              <w:rPr>
                <w:i/>
                <w:sz w:val="28"/>
                <w:szCs w:val="28"/>
                <w:lang w:val="nl-NL"/>
              </w:rPr>
              <w:t>Hà Nội, ngày 12  tháng 9  năm 2012</w:t>
            </w:r>
          </w:p>
        </w:tc>
      </w:tr>
    </w:tbl>
    <w:p w:rsidR="00CF639A" w:rsidRPr="005C4BA3" w:rsidRDefault="00CF639A" w:rsidP="005C4BA3">
      <w:pPr>
        <w:rPr>
          <w:b/>
          <w:lang w:val="nl-NL"/>
        </w:rPr>
      </w:pPr>
    </w:p>
    <w:p w:rsidR="003A4252" w:rsidRDefault="003A4252" w:rsidP="00005650">
      <w:pPr>
        <w:spacing w:before="120"/>
        <w:jc w:val="center"/>
        <w:rPr>
          <w:b/>
          <w:sz w:val="28"/>
          <w:szCs w:val="28"/>
          <w:lang w:val="nl-NL"/>
        </w:rPr>
      </w:pPr>
      <w:r w:rsidRPr="006540F9">
        <w:rPr>
          <w:b/>
          <w:sz w:val="28"/>
          <w:szCs w:val="28"/>
          <w:lang w:val="nl-NL"/>
        </w:rPr>
        <w:t xml:space="preserve">THÔNG TƯ </w:t>
      </w:r>
    </w:p>
    <w:p w:rsidR="00B845F3" w:rsidRDefault="003A4252" w:rsidP="003B73D4">
      <w:pPr>
        <w:spacing w:before="120"/>
        <w:jc w:val="center"/>
        <w:rPr>
          <w:b/>
          <w:sz w:val="28"/>
          <w:szCs w:val="28"/>
          <w:lang w:val="nl-NL"/>
        </w:rPr>
      </w:pPr>
      <w:r w:rsidRPr="006540F9">
        <w:rPr>
          <w:b/>
          <w:sz w:val="28"/>
          <w:szCs w:val="28"/>
          <w:lang w:val="nl-NL"/>
        </w:rPr>
        <w:t xml:space="preserve">Sửa đổi, bổ sung </w:t>
      </w:r>
      <w:bookmarkStart w:id="0" w:name="OLE_LINK1"/>
      <w:bookmarkStart w:id="1" w:name="OLE_LINK2"/>
      <w:r w:rsidRPr="006540F9">
        <w:rPr>
          <w:b/>
          <w:sz w:val="28"/>
          <w:szCs w:val="28"/>
          <w:lang w:val="nl-NL"/>
        </w:rPr>
        <w:t xml:space="preserve">Thông tư số 126/2008/TT-BTC ngày 22/12/2008 của </w:t>
      </w:r>
    </w:p>
    <w:p w:rsidR="003A4252" w:rsidRPr="006540F9" w:rsidRDefault="003A4252" w:rsidP="00B845F3">
      <w:pPr>
        <w:jc w:val="center"/>
        <w:rPr>
          <w:b/>
          <w:sz w:val="28"/>
          <w:szCs w:val="28"/>
          <w:lang w:val="nl-NL"/>
        </w:rPr>
      </w:pPr>
      <w:r w:rsidRPr="006540F9">
        <w:rPr>
          <w:b/>
          <w:sz w:val="28"/>
          <w:szCs w:val="28"/>
          <w:lang w:val="nl-NL"/>
        </w:rPr>
        <w:t xml:space="preserve">Bộ Tài chính quy định Quy tắc, điều khoản, biểu phí và mức trách nhiệm bảo hiểm bắt buộc trách </w:t>
      </w:r>
      <w:r w:rsidR="00B845F3">
        <w:rPr>
          <w:b/>
          <w:sz w:val="28"/>
          <w:szCs w:val="28"/>
          <w:lang w:val="nl-NL"/>
        </w:rPr>
        <w:t xml:space="preserve">nhiệm dân sự của chủ xe cơ giới </w:t>
      </w:r>
      <w:r w:rsidRPr="006540F9">
        <w:rPr>
          <w:b/>
          <w:sz w:val="28"/>
          <w:szCs w:val="28"/>
          <w:lang w:val="nl-NL"/>
        </w:rPr>
        <w:t>và Thông tư số 103/2009/TT-BTC ngày 25/5/2009 của Bộ Tài chính quy định việc quản lý, sử dụng, thanh toán và quyết toán Quỹ bảo hiểm xe cơ giới</w:t>
      </w:r>
    </w:p>
    <w:bookmarkEnd w:id="0"/>
    <w:bookmarkEnd w:id="1"/>
    <w:p w:rsidR="003A4252" w:rsidRPr="006540F9" w:rsidRDefault="00271A8C" w:rsidP="003A4252">
      <w:pPr>
        <w:jc w:val="center"/>
        <w:rPr>
          <w:b/>
          <w:bCs/>
          <w:sz w:val="28"/>
          <w:szCs w:val="28"/>
          <w:lang w:val="nl-NL"/>
        </w:rPr>
      </w:pPr>
      <w:r>
        <w:rPr>
          <w:noProof/>
          <w:sz w:val="28"/>
          <w:szCs w:val="28"/>
        </w:rPr>
        <w:pict>
          <v:line id="_x0000_s1032" style="position:absolute;left:0;text-align:left;z-index:251658752" from="147pt,7.1pt" to="291pt,7.1pt"/>
        </w:pict>
      </w:r>
      <w:r w:rsidR="003A4252" w:rsidRPr="006540F9">
        <w:rPr>
          <w:sz w:val="28"/>
          <w:szCs w:val="28"/>
          <w:lang w:val="nl-NL"/>
        </w:rPr>
        <w:softHyphen/>
      </w:r>
      <w:r w:rsidR="003A4252" w:rsidRPr="006540F9">
        <w:rPr>
          <w:sz w:val="28"/>
          <w:szCs w:val="28"/>
          <w:lang w:val="nl-NL"/>
        </w:rPr>
        <w:softHyphen/>
      </w:r>
      <w:r w:rsidR="003A4252" w:rsidRPr="006540F9">
        <w:rPr>
          <w:sz w:val="28"/>
          <w:szCs w:val="28"/>
          <w:lang w:val="nl-NL"/>
        </w:rPr>
        <w:softHyphen/>
      </w:r>
      <w:r w:rsidR="003A4252" w:rsidRPr="006540F9">
        <w:rPr>
          <w:sz w:val="28"/>
          <w:szCs w:val="28"/>
          <w:lang w:val="nl-NL"/>
        </w:rPr>
        <w:softHyphen/>
      </w:r>
      <w:r w:rsidR="003A4252" w:rsidRPr="006540F9">
        <w:rPr>
          <w:sz w:val="28"/>
          <w:szCs w:val="28"/>
          <w:lang w:val="nl-NL"/>
        </w:rPr>
        <w:softHyphen/>
      </w:r>
      <w:r w:rsidR="003A4252" w:rsidRPr="006540F9">
        <w:rPr>
          <w:sz w:val="28"/>
          <w:szCs w:val="28"/>
          <w:lang w:val="nl-NL"/>
        </w:rPr>
        <w:softHyphen/>
      </w:r>
      <w:r w:rsidR="003A4252" w:rsidRPr="006540F9">
        <w:rPr>
          <w:sz w:val="28"/>
          <w:szCs w:val="28"/>
          <w:lang w:val="nl-NL"/>
        </w:rPr>
        <w:softHyphen/>
      </w:r>
      <w:r w:rsidR="003A4252" w:rsidRPr="006540F9">
        <w:rPr>
          <w:sz w:val="28"/>
          <w:szCs w:val="28"/>
          <w:lang w:val="nl-NL"/>
        </w:rPr>
        <w:softHyphen/>
      </w:r>
      <w:r w:rsidR="003A4252" w:rsidRPr="006540F9">
        <w:rPr>
          <w:sz w:val="28"/>
          <w:szCs w:val="28"/>
          <w:lang w:val="nl-NL"/>
        </w:rPr>
        <w:softHyphen/>
      </w:r>
      <w:r w:rsidR="003A4252" w:rsidRPr="006540F9">
        <w:rPr>
          <w:b/>
          <w:bCs/>
          <w:sz w:val="28"/>
          <w:szCs w:val="28"/>
          <w:lang w:val="nl-NL"/>
        </w:rPr>
        <w:softHyphen/>
      </w:r>
      <w:r w:rsidR="003A4252" w:rsidRPr="006540F9">
        <w:rPr>
          <w:b/>
          <w:bCs/>
          <w:sz w:val="28"/>
          <w:szCs w:val="28"/>
          <w:lang w:val="nl-NL"/>
        </w:rPr>
        <w:softHyphen/>
      </w:r>
      <w:r w:rsidR="003A4252" w:rsidRPr="006540F9">
        <w:rPr>
          <w:b/>
          <w:bCs/>
          <w:sz w:val="28"/>
          <w:szCs w:val="28"/>
          <w:lang w:val="nl-NL"/>
        </w:rPr>
        <w:softHyphen/>
      </w:r>
      <w:r w:rsidR="003A4252" w:rsidRPr="006540F9">
        <w:rPr>
          <w:b/>
          <w:bCs/>
          <w:sz w:val="28"/>
          <w:szCs w:val="28"/>
          <w:lang w:val="nl-NL"/>
        </w:rPr>
        <w:softHyphen/>
      </w:r>
      <w:r w:rsidR="003A4252" w:rsidRPr="006540F9">
        <w:rPr>
          <w:b/>
          <w:bCs/>
          <w:sz w:val="28"/>
          <w:szCs w:val="28"/>
          <w:lang w:val="nl-NL"/>
        </w:rPr>
        <w:softHyphen/>
      </w:r>
      <w:r w:rsidR="003A4252" w:rsidRPr="006540F9">
        <w:rPr>
          <w:b/>
          <w:bCs/>
          <w:sz w:val="28"/>
          <w:szCs w:val="28"/>
          <w:lang w:val="nl-NL"/>
        </w:rPr>
        <w:softHyphen/>
      </w:r>
    </w:p>
    <w:p w:rsidR="00271A8C" w:rsidRDefault="00271A8C" w:rsidP="00A64BBD">
      <w:pPr>
        <w:ind w:firstLine="709"/>
        <w:jc w:val="both"/>
        <w:rPr>
          <w:i/>
          <w:sz w:val="28"/>
          <w:szCs w:val="28"/>
          <w:lang w:val="nl-NL"/>
        </w:rPr>
      </w:pPr>
    </w:p>
    <w:p w:rsidR="003A4252" w:rsidRPr="00D22137" w:rsidRDefault="003A4252" w:rsidP="00A64BBD">
      <w:pPr>
        <w:ind w:firstLine="709"/>
        <w:jc w:val="both"/>
        <w:rPr>
          <w:i/>
          <w:sz w:val="28"/>
          <w:szCs w:val="28"/>
          <w:lang w:val="nl-NL"/>
        </w:rPr>
      </w:pPr>
      <w:r w:rsidRPr="00D22137">
        <w:rPr>
          <w:i/>
          <w:sz w:val="28"/>
          <w:szCs w:val="28"/>
          <w:lang w:val="nl-NL"/>
        </w:rPr>
        <w:t>Căn cứ Nghị định số 118/2008/NĐ-CP ngày 27 tháng 11 năm 2008 của Chính phủ quy định chức năng, nhiệm vụ, quyền hạn và cơ cấu tổ chức của Bộ Tài chính;</w:t>
      </w:r>
    </w:p>
    <w:p w:rsidR="003A4252" w:rsidRPr="00D22137" w:rsidRDefault="003A4252" w:rsidP="00A64BBD">
      <w:pPr>
        <w:pStyle w:val="Heading2"/>
        <w:tabs>
          <w:tab w:val="clear" w:pos="709"/>
        </w:tabs>
        <w:spacing w:before="120" w:after="120"/>
        <w:ind w:firstLine="709"/>
        <w:jc w:val="both"/>
        <w:rPr>
          <w:rFonts w:ascii="Times New Roman" w:hAnsi="Times New Roman" w:cs="Times New Roman"/>
          <w:b w:val="0"/>
          <w:lang w:val="nl-NL"/>
        </w:rPr>
      </w:pPr>
      <w:r w:rsidRPr="00D22137">
        <w:rPr>
          <w:rFonts w:ascii="Times New Roman" w:hAnsi="Times New Roman"/>
          <w:b w:val="0"/>
          <w:lang w:val="nl-NL"/>
        </w:rPr>
        <w:t>C</w:t>
      </w:r>
      <w:r w:rsidRPr="00D22137">
        <w:rPr>
          <w:rFonts w:ascii="Times New Roman" w:hAnsi="Times New Roman" w:hint="eastAsia"/>
          <w:b w:val="0"/>
          <w:lang w:val="nl-NL"/>
        </w:rPr>
        <w:t>ă</w:t>
      </w:r>
      <w:r w:rsidRPr="00D22137">
        <w:rPr>
          <w:rFonts w:ascii="Times New Roman" w:hAnsi="Times New Roman"/>
          <w:b w:val="0"/>
          <w:lang w:val="nl-NL"/>
        </w:rPr>
        <w:t xml:space="preserve">n cứ Nghị </w:t>
      </w:r>
      <w:r w:rsidRPr="00D22137">
        <w:rPr>
          <w:rFonts w:ascii="Times New Roman" w:hAnsi="Times New Roman" w:hint="eastAsia"/>
          <w:b w:val="0"/>
          <w:lang w:val="nl-NL"/>
        </w:rPr>
        <w:t>đ</w:t>
      </w:r>
      <w:r w:rsidRPr="00D22137">
        <w:rPr>
          <w:rFonts w:ascii="Times New Roman" w:hAnsi="Times New Roman"/>
          <w:b w:val="0"/>
          <w:lang w:val="nl-NL"/>
        </w:rPr>
        <w:t>ịnh số 103/2008/N</w:t>
      </w:r>
      <w:r w:rsidRPr="00D22137">
        <w:rPr>
          <w:rFonts w:ascii="Times New Roman" w:hAnsi="Times New Roman" w:hint="eastAsia"/>
          <w:b w:val="0"/>
          <w:lang w:val="nl-NL"/>
        </w:rPr>
        <w:t>Đ</w:t>
      </w:r>
      <w:r w:rsidRPr="00D22137">
        <w:rPr>
          <w:rFonts w:ascii="Times New Roman" w:hAnsi="Times New Roman"/>
          <w:b w:val="0"/>
          <w:lang w:val="nl-NL"/>
        </w:rPr>
        <w:t>-CP ngày 16 tháng 9 n</w:t>
      </w:r>
      <w:r w:rsidRPr="00D22137">
        <w:rPr>
          <w:rFonts w:ascii="Times New Roman" w:hAnsi="Times New Roman" w:hint="eastAsia"/>
          <w:b w:val="0"/>
          <w:lang w:val="nl-NL"/>
        </w:rPr>
        <w:t>ă</w:t>
      </w:r>
      <w:r w:rsidRPr="00D22137">
        <w:rPr>
          <w:rFonts w:ascii="Times New Roman" w:hAnsi="Times New Roman"/>
          <w:b w:val="0"/>
          <w:lang w:val="nl-NL"/>
        </w:rPr>
        <w:t>m 2008 của Chính phủ về bảo hiểm bắt buộc trách nhiệm dân sự của chủ xe c</w:t>
      </w:r>
      <w:r w:rsidRPr="00D22137">
        <w:rPr>
          <w:rFonts w:ascii="Times New Roman" w:hAnsi="Times New Roman" w:hint="eastAsia"/>
          <w:b w:val="0"/>
          <w:lang w:val="nl-NL"/>
        </w:rPr>
        <w:t>ơ</w:t>
      </w:r>
      <w:r w:rsidRPr="00D22137">
        <w:rPr>
          <w:rFonts w:ascii="Times New Roman" w:hAnsi="Times New Roman"/>
          <w:b w:val="0"/>
          <w:lang w:val="nl-NL"/>
        </w:rPr>
        <w:t xml:space="preserve"> giới;</w:t>
      </w:r>
    </w:p>
    <w:p w:rsidR="003A4252" w:rsidRPr="00D22137" w:rsidRDefault="003A4252" w:rsidP="00A64BBD">
      <w:pPr>
        <w:pStyle w:val="Heading2"/>
        <w:tabs>
          <w:tab w:val="clear" w:pos="709"/>
        </w:tabs>
        <w:spacing w:before="120" w:after="120"/>
        <w:ind w:firstLine="709"/>
        <w:jc w:val="both"/>
        <w:rPr>
          <w:rFonts w:ascii="Times New Roman" w:hAnsi="Times New Roman"/>
          <w:lang w:val="sv-SE"/>
        </w:rPr>
      </w:pPr>
      <w:r w:rsidRPr="00D22137">
        <w:rPr>
          <w:rFonts w:ascii="Times New Roman" w:hAnsi="Times New Roman" w:cs="Times New Roman"/>
          <w:b w:val="0"/>
          <w:lang w:val="sv-SE"/>
        </w:rPr>
        <w:t xml:space="preserve">Xét </w:t>
      </w:r>
      <w:r w:rsidRPr="00D22137">
        <w:rPr>
          <w:rFonts w:ascii="Times New Roman" w:hAnsi="Times New Roman" w:cs="Times New Roman" w:hint="eastAsia"/>
          <w:b w:val="0"/>
          <w:lang w:val="sv-SE"/>
        </w:rPr>
        <w:t>đ</w:t>
      </w:r>
      <w:r w:rsidRPr="00D22137">
        <w:rPr>
          <w:rFonts w:ascii="Times New Roman" w:hAnsi="Times New Roman" w:cs="Times New Roman"/>
          <w:b w:val="0"/>
          <w:lang w:val="sv-SE"/>
        </w:rPr>
        <w:t>ề nghị của Cục tr</w:t>
      </w:r>
      <w:r w:rsidRPr="00D22137">
        <w:rPr>
          <w:rFonts w:ascii="Times New Roman" w:hAnsi="Times New Roman" w:cs="Times New Roman" w:hint="eastAsia"/>
          <w:b w:val="0"/>
          <w:lang w:val="sv-SE"/>
        </w:rPr>
        <w:t>ư</w:t>
      </w:r>
      <w:r w:rsidRPr="00D22137">
        <w:rPr>
          <w:rFonts w:ascii="Times New Roman" w:hAnsi="Times New Roman" w:cs="Times New Roman"/>
          <w:b w:val="0"/>
          <w:lang w:val="sv-SE"/>
        </w:rPr>
        <w:t>ởng Cục Quản lý, giám sát bảo hiểm</w:t>
      </w:r>
      <w:r w:rsidR="002311BE">
        <w:rPr>
          <w:rFonts w:ascii="Times New Roman" w:hAnsi="Times New Roman" w:cs="Times New Roman"/>
          <w:b w:val="0"/>
          <w:lang w:val="sv-SE"/>
        </w:rPr>
        <w:t>;</w:t>
      </w:r>
    </w:p>
    <w:p w:rsidR="003A4252" w:rsidRPr="00D22137" w:rsidRDefault="00D20932" w:rsidP="00A64BBD">
      <w:pPr>
        <w:pStyle w:val="Heading2"/>
        <w:tabs>
          <w:tab w:val="clear" w:pos="709"/>
        </w:tabs>
        <w:spacing w:before="120" w:after="120"/>
        <w:ind w:firstLine="709"/>
        <w:jc w:val="both"/>
        <w:rPr>
          <w:rFonts w:ascii="Times New Roman" w:hAnsi="Times New Roman" w:cs="Times New Roman"/>
          <w:b w:val="0"/>
          <w:bCs w:val="0"/>
          <w:iCs w:val="0"/>
          <w:lang w:val="sv-SE"/>
        </w:rPr>
      </w:pPr>
      <w:r>
        <w:rPr>
          <w:rFonts w:ascii="Times New Roman" w:hAnsi="Times New Roman" w:cs="Times New Roman"/>
          <w:b w:val="0"/>
          <w:bCs w:val="0"/>
          <w:iCs w:val="0"/>
          <w:lang w:val="sv-SE"/>
        </w:rPr>
        <w:t>B</w:t>
      </w:r>
      <w:r w:rsidRPr="00D20932">
        <w:rPr>
          <w:rFonts w:ascii="Times New Roman" w:hAnsi="Times New Roman" w:cs="Times New Roman"/>
          <w:b w:val="0"/>
          <w:bCs w:val="0"/>
          <w:iCs w:val="0"/>
          <w:lang w:val="sv-SE"/>
        </w:rPr>
        <w:t>ộ</w:t>
      </w:r>
      <w:r>
        <w:rPr>
          <w:rFonts w:ascii="Times New Roman" w:hAnsi="Times New Roman" w:cs="Times New Roman"/>
          <w:b w:val="0"/>
          <w:bCs w:val="0"/>
          <w:iCs w:val="0"/>
          <w:lang w:val="sv-SE"/>
        </w:rPr>
        <w:t xml:space="preserve"> tr</w:t>
      </w:r>
      <w:r w:rsidRPr="00D20932">
        <w:rPr>
          <w:rFonts w:ascii="Times New Roman" w:hAnsi="Times New Roman" w:cs="Times New Roman"/>
          <w:b w:val="0"/>
          <w:bCs w:val="0"/>
          <w:iCs w:val="0"/>
          <w:lang w:val="sv-SE"/>
        </w:rPr>
        <w:t>ưởng</w:t>
      </w:r>
      <w:r>
        <w:rPr>
          <w:rFonts w:ascii="Times New Roman" w:hAnsi="Times New Roman" w:cs="Times New Roman"/>
          <w:b w:val="0"/>
          <w:bCs w:val="0"/>
          <w:iCs w:val="0"/>
          <w:lang w:val="sv-SE"/>
        </w:rPr>
        <w:t xml:space="preserve"> </w:t>
      </w:r>
      <w:r w:rsidR="003A4252" w:rsidRPr="00D22137">
        <w:rPr>
          <w:rFonts w:ascii="Times New Roman" w:hAnsi="Times New Roman" w:cs="Times New Roman"/>
          <w:b w:val="0"/>
          <w:bCs w:val="0"/>
          <w:iCs w:val="0"/>
          <w:lang w:val="sv-SE"/>
        </w:rPr>
        <w:t>Bộ Tài chính ban hành Thông tư</w:t>
      </w:r>
      <w:r w:rsidR="00CB6515">
        <w:rPr>
          <w:rFonts w:ascii="Times New Roman" w:hAnsi="Times New Roman" w:cs="Times New Roman"/>
          <w:b w:val="0"/>
          <w:bCs w:val="0"/>
          <w:iCs w:val="0"/>
          <w:lang w:val="sv-SE"/>
        </w:rPr>
        <w:t xml:space="preserve"> </w:t>
      </w:r>
      <w:r w:rsidR="003A4252" w:rsidRPr="00D22137">
        <w:rPr>
          <w:rFonts w:ascii="Times New Roman" w:hAnsi="Times New Roman" w:cs="Times New Roman"/>
          <w:b w:val="0"/>
          <w:bCs w:val="0"/>
          <w:iCs w:val="0"/>
          <w:lang w:val="sv-SE"/>
        </w:rPr>
        <w:t>sửa đổi, bổ sung</w:t>
      </w:r>
      <w:r w:rsidR="00CB6515">
        <w:rPr>
          <w:rFonts w:ascii="Times New Roman" w:hAnsi="Times New Roman" w:cs="Times New Roman"/>
          <w:b w:val="0"/>
          <w:bCs w:val="0"/>
          <w:iCs w:val="0"/>
          <w:lang w:val="sv-SE"/>
        </w:rPr>
        <w:t xml:space="preserve"> </w:t>
      </w:r>
      <w:r w:rsidR="003A4252" w:rsidRPr="00D22137">
        <w:rPr>
          <w:rFonts w:ascii="Times New Roman" w:hAnsi="Times New Roman" w:cs="Times New Roman"/>
          <w:b w:val="0"/>
          <w:bCs w:val="0"/>
          <w:iCs w:val="0"/>
          <w:lang w:val="sv-SE"/>
        </w:rPr>
        <w:t>Thông tư số 126/2008/TT-BTC ngày 22/12/2008 của Bộ Tài chính quy định Quy tắc, điều khoản, biểu phí và mức trách nhiệm bảo hiểm bắt buộc trách nhiệm dân sự của chủ xe cơ giới (sau đây gọi tắt là “Thông tư 126/2008/TT-BTC”) và Thông tư số 103/2009/TT-BTC ngày 25/5/2009 của Bộ Tài chính quy định việc quản lý, sử dụng, thanh toán và quyết toán Quỹ bảo hiểm xe cơ giới (sau đây gọi tắt</w:t>
      </w:r>
      <w:r w:rsidR="002311BE">
        <w:rPr>
          <w:rFonts w:ascii="Times New Roman" w:hAnsi="Times New Roman" w:cs="Times New Roman"/>
          <w:b w:val="0"/>
          <w:bCs w:val="0"/>
          <w:iCs w:val="0"/>
          <w:lang w:val="sv-SE"/>
        </w:rPr>
        <w:t xml:space="preserve"> là “Thông tư 103/2009/TT-BTC”)</w:t>
      </w:r>
      <w:r w:rsidR="00882EF4">
        <w:rPr>
          <w:rFonts w:ascii="Times New Roman" w:hAnsi="Times New Roman" w:cs="Times New Roman"/>
          <w:b w:val="0"/>
          <w:bCs w:val="0"/>
          <w:iCs w:val="0"/>
          <w:lang w:val="sv-SE"/>
        </w:rPr>
        <w:t>.</w:t>
      </w:r>
      <w:r w:rsidR="003A4252" w:rsidRPr="00D22137">
        <w:rPr>
          <w:rFonts w:ascii="Times New Roman" w:hAnsi="Times New Roman" w:cs="Times New Roman"/>
          <w:b w:val="0"/>
          <w:bCs w:val="0"/>
          <w:iCs w:val="0"/>
          <w:lang w:val="sv-SE"/>
        </w:rPr>
        <w:t xml:space="preserve"> </w:t>
      </w:r>
    </w:p>
    <w:p w:rsidR="003A4252" w:rsidRPr="006540F9" w:rsidRDefault="003A4252" w:rsidP="00E11ADD">
      <w:pPr>
        <w:spacing w:before="240" w:after="120"/>
        <w:ind w:firstLine="709"/>
        <w:jc w:val="both"/>
        <w:rPr>
          <w:b/>
          <w:sz w:val="28"/>
          <w:szCs w:val="28"/>
          <w:lang w:val="sv-SE"/>
        </w:rPr>
      </w:pPr>
      <w:r w:rsidRPr="006540F9">
        <w:rPr>
          <w:b/>
          <w:sz w:val="28"/>
          <w:szCs w:val="28"/>
          <w:lang w:val="sv-SE"/>
        </w:rPr>
        <w:t>Điều 1. Sửa đổi, bổ sung Thông tư 126</w:t>
      </w:r>
      <w:r w:rsidRPr="006540F9">
        <w:rPr>
          <w:b/>
          <w:bCs/>
          <w:iCs/>
          <w:sz w:val="28"/>
          <w:szCs w:val="28"/>
          <w:lang w:val="sv-SE"/>
        </w:rPr>
        <w:t>/2008/TT-BTC</w:t>
      </w:r>
    </w:p>
    <w:p w:rsidR="00BD5129" w:rsidRPr="00206F7D" w:rsidRDefault="00BD5129" w:rsidP="00E11ADD">
      <w:pPr>
        <w:spacing w:before="240" w:line="228" w:lineRule="auto"/>
        <w:ind w:firstLine="709"/>
        <w:jc w:val="both"/>
        <w:rPr>
          <w:sz w:val="28"/>
          <w:szCs w:val="28"/>
          <w:lang w:val="sv-SE"/>
        </w:rPr>
      </w:pPr>
      <w:r w:rsidRPr="00206F7D">
        <w:rPr>
          <w:sz w:val="28"/>
          <w:szCs w:val="28"/>
          <w:lang w:val="sv-SE"/>
        </w:rPr>
        <w:t xml:space="preserve">1. </w:t>
      </w:r>
      <w:r w:rsidR="006206BC">
        <w:rPr>
          <w:sz w:val="28"/>
          <w:szCs w:val="28"/>
          <w:lang w:val="sv-SE"/>
        </w:rPr>
        <w:t>Sửa đổi Điểm 5.1</w:t>
      </w:r>
      <w:r w:rsidR="00F81808">
        <w:rPr>
          <w:sz w:val="28"/>
          <w:szCs w:val="28"/>
          <w:lang w:val="sv-SE"/>
        </w:rPr>
        <w:t>, Khoản 5</w:t>
      </w:r>
      <w:r w:rsidRPr="00206F7D">
        <w:rPr>
          <w:sz w:val="28"/>
          <w:szCs w:val="28"/>
          <w:lang w:val="sv-SE"/>
        </w:rPr>
        <w:t>, Mục I như sau:</w:t>
      </w:r>
    </w:p>
    <w:p w:rsidR="00BD5129" w:rsidRDefault="00F81808" w:rsidP="00E11ADD">
      <w:pPr>
        <w:spacing w:before="120" w:line="228" w:lineRule="auto"/>
        <w:ind w:firstLine="709"/>
        <w:jc w:val="both"/>
        <w:rPr>
          <w:sz w:val="28"/>
          <w:szCs w:val="28"/>
          <w:lang w:val="sv-SE"/>
        </w:rPr>
      </w:pPr>
      <w:r>
        <w:rPr>
          <w:sz w:val="28"/>
          <w:szCs w:val="28"/>
          <w:lang w:val="fr-FR"/>
        </w:rPr>
        <w:t>“5.1</w:t>
      </w:r>
      <w:r w:rsidR="00BD5129" w:rsidRPr="00206F7D">
        <w:rPr>
          <w:sz w:val="28"/>
          <w:szCs w:val="28"/>
          <w:lang w:val="fr-FR"/>
        </w:rPr>
        <w:t xml:space="preserve">. Thiệt hại </w:t>
      </w:r>
      <w:r>
        <w:rPr>
          <w:sz w:val="28"/>
          <w:szCs w:val="28"/>
          <w:lang w:val="fr-FR"/>
        </w:rPr>
        <w:t xml:space="preserve">ngoài hợp đồng </w:t>
      </w:r>
      <w:r w:rsidR="00BD5129" w:rsidRPr="00206F7D">
        <w:rPr>
          <w:sz w:val="28"/>
          <w:szCs w:val="28"/>
          <w:lang w:val="fr-FR"/>
        </w:rPr>
        <w:t>về thân thể, tính mạng và tài sản đối</w:t>
      </w:r>
      <w:r>
        <w:rPr>
          <w:sz w:val="28"/>
          <w:szCs w:val="28"/>
          <w:lang w:val="fr-FR"/>
        </w:rPr>
        <w:t xml:space="preserve"> với bên thứ ba </w:t>
      </w:r>
      <w:r w:rsidR="00BD5129" w:rsidRPr="00206F7D">
        <w:rPr>
          <w:sz w:val="28"/>
          <w:szCs w:val="28"/>
          <w:lang w:val="fr-FR"/>
        </w:rPr>
        <w:t>do xe cơ giới gây ra.</w:t>
      </w:r>
      <w:r w:rsidR="00BD5129" w:rsidRPr="00206F7D">
        <w:rPr>
          <w:bCs/>
          <w:iCs/>
          <w:sz w:val="28"/>
          <w:szCs w:val="28"/>
          <w:lang w:val="sv-SE"/>
        </w:rPr>
        <w:t>”</w:t>
      </w:r>
    </w:p>
    <w:p w:rsidR="003B0059" w:rsidRDefault="00BE7BDB" w:rsidP="00E11ADD">
      <w:pPr>
        <w:spacing w:before="240" w:line="228" w:lineRule="auto"/>
        <w:ind w:firstLine="709"/>
        <w:jc w:val="both"/>
        <w:rPr>
          <w:sz w:val="28"/>
          <w:szCs w:val="28"/>
          <w:lang w:val="sv-SE"/>
        </w:rPr>
      </w:pPr>
      <w:r>
        <w:rPr>
          <w:sz w:val="28"/>
          <w:szCs w:val="28"/>
          <w:lang w:val="sv-SE"/>
        </w:rPr>
        <w:t>2</w:t>
      </w:r>
      <w:r w:rsidR="003A4252" w:rsidRPr="009B6A75">
        <w:rPr>
          <w:sz w:val="28"/>
          <w:szCs w:val="28"/>
          <w:lang w:val="sv-SE"/>
        </w:rPr>
        <w:t xml:space="preserve">. </w:t>
      </w:r>
      <w:r w:rsidR="00633AD2">
        <w:rPr>
          <w:sz w:val="28"/>
          <w:szCs w:val="28"/>
          <w:lang w:val="sv-SE"/>
        </w:rPr>
        <w:t xml:space="preserve">Sửa đổi, bổ sung </w:t>
      </w:r>
      <w:r w:rsidR="003A4252" w:rsidRPr="009B6A75">
        <w:rPr>
          <w:sz w:val="28"/>
          <w:szCs w:val="28"/>
          <w:lang w:val="sv-SE"/>
        </w:rPr>
        <w:t>Điểm 1.2, Khoản 1, Mục II như sau:</w:t>
      </w:r>
    </w:p>
    <w:p w:rsidR="009B6A75" w:rsidRPr="009B6A75" w:rsidRDefault="003A4252" w:rsidP="00E11ADD">
      <w:pPr>
        <w:spacing w:before="120" w:line="228" w:lineRule="auto"/>
        <w:ind w:firstLine="709"/>
        <w:jc w:val="both"/>
        <w:rPr>
          <w:sz w:val="28"/>
          <w:szCs w:val="28"/>
          <w:lang w:val="sv-SE"/>
        </w:rPr>
      </w:pPr>
      <w:r w:rsidRPr="009B6A75">
        <w:rPr>
          <w:sz w:val="28"/>
          <w:szCs w:val="28"/>
          <w:lang w:val="fr-FR"/>
        </w:rPr>
        <w:t>“</w:t>
      </w:r>
      <w:r w:rsidRPr="009B6A75">
        <w:rPr>
          <w:sz w:val="28"/>
          <w:szCs w:val="28"/>
          <w:lang w:val="sv-SE"/>
        </w:rPr>
        <w:t>1.2. Doanh nghiệp bảo hiểm chỉ cấp Giấy chứng nhận bảo hiểm cho chủ xe cơ giới khi chủ xe cơ giới đã đóng đủ phí bảo hiểm. Việc đóng đủ phí bảo hiểm phải được xác nhận bằng chứng từ kế toán của doanh nghiệp bảo hiểm (biên lai thu tiền, hóa đơn thu tiền của doanh nghiệp bảo hiểm hoặc các hình thức chứng từ khác theo quy định của pháp luật có liên quan).</w:t>
      </w:r>
      <w:r w:rsidRPr="009B6A75">
        <w:rPr>
          <w:bCs/>
          <w:iCs/>
          <w:sz w:val="28"/>
          <w:szCs w:val="28"/>
          <w:lang w:val="sv-SE"/>
        </w:rPr>
        <w:t xml:space="preserve"> Trong một số trường hợp đặc thù, doanh nghiệp bảo hiểm và chủ xe cơ giới có thể thỏa thuận </w:t>
      </w:r>
      <w:r w:rsidR="00960522">
        <w:rPr>
          <w:bCs/>
          <w:iCs/>
          <w:sz w:val="28"/>
          <w:szCs w:val="28"/>
          <w:lang w:val="sv-SE"/>
        </w:rPr>
        <w:t xml:space="preserve">(bằng văn bản) </w:t>
      </w:r>
      <w:r w:rsidRPr="009B6A75">
        <w:rPr>
          <w:bCs/>
          <w:iCs/>
          <w:sz w:val="28"/>
          <w:szCs w:val="28"/>
          <w:lang w:val="sv-SE"/>
        </w:rPr>
        <w:t>về thời hạn thanh toán phí bảo hiểm, cụ thể như sau:</w:t>
      </w:r>
      <w:r w:rsidRPr="009B6A75">
        <w:rPr>
          <w:sz w:val="28"/>
          <w:szCs w:val="28"/>
          <w:lang w:val="sv-SE"/>
        </w:rPr>
        <w:tab/>
      </w:r>
    </w:p>
    <w:p w:rsidR="009B6A75" w:rsidRPr="009B6A75" w:rsidRDefault="00D979E7" w:rsidP="00E11ADD">
      <w:pPr>
        <w:spacing w:before="120" w:line="228" w:lineRule="auto"/>
        <w:ind w:firstLine="709"/>
        <w:jc w:val="both"/>
        <w:rPr>
          <w:sz w:val="28"/>
          <w:szCs w:val="28"/>
          <w:lang w:val="fr-FR"/>
        </w:rPr>
      </w:pPr>
      <w:r w:rsidRPr="009B6A75">
        <w:rPr>
          <w:sz w:val="28"/>
          <w:szCs w:val="28"/>
          <w:lang w:val="fr-FR"/>
        </w:rPr>
        <w:t>- Trường hợp chủ xe cơ giới là các cơ quan hành chính, đơn v</w:t>
      </w:r>
      <w:r w:rsidR="00D82C0C">
        <w:rPr>
          <w:sz w:val="28"/>
          <w:szCs w:val="28"/>
          <w:lang w:val="fr-FR"/>
        </w:rPr>
        <w:t>ị sự nghiệp của Nhà nước</w:t>
      </w:r>
      <w:r w:rsidRPr="009B6A75">
        <w:rPr>
          <w:sz w:val="28"/>
          <w:szCs w:val="28"/>
          <w:lang w:val="fr-FR"/>
        </w:rPr>
        <w:t>, ph</w:t>
      </w:r>
      <w:r w:rsidR="00FD2C11">
        <w:rPr>
          <w:sz w:val="28"/>
          <w:szCs w:val="28"/>
          <w:lang w:val="fr-FR"/>
        </w:rPr>
        <w:t xml:space="preserve">í bảo hiểm phải được thanh toán </w:t>
      </w:r>
      <w:r w:rsidR="00113270">
        <w:rPr>
          <w:sz w:val="28"/>
          <w:szCs w:val="28"/>
          <w:lang w:val="fr-FR"/>
        </w:rPr>
        <w:t xml:space="preserve">đủ </w:t>
      </w:r>
      <w:r w:rsidRPr="009B6A75">
        <w:rPr>
          <w:sz w:val="28"/>
          <w:szCs w:val="28"/>
          <w:lang w:val="fr-FR"/>
        </w:rPr>
        <w:t>trong thời hạn 10 ngày kể</w:t>
      </w:r>
      <w:r w:rsidR="00C20665">
        <w:rPr>
          <w:sz w:val="28"/>
          <w:szCs w:val="28"/>
          <w:lang w:val="fr-FR"/>
        </w:rPr>
        <w:t xml:space="preserve"> từ </w:t>
      </w:r>
      <w:r w:rsidR="00BC025D">
        <w:rPr>
          <w:sz w:val="28"/>
          <w:szCs w:val="28"/>
          <w:lang w:val="fr-FR"/>
        </w:rPr>
        <w:t>th</w:t>
      </w:r>
      <w:r w:rsidR="00BC025D" w:rsidRPr="00BC025D">
        <w:rPr>
          <w:sz w:val="28"/>
          <w:szCs w:val="28"/>
          <w:lang w:val="fr-FR"/>
        </w:rPr>
        <w:t>ời</w:t>
      </w:r>
      <w:r w:rsidR="00BC025D">
        <w:rPr>
          <w:sz w:val="28"/>
          <w:szCs w:val="28"/>
          <w:lang w:val="fr-FR"/>
        </w:rPr>
        <w:t xml:space="preserve"> </w:t>
      </w:r>
      <w:r w:rsidR="00BC025D" w:rsidRPr="00BC025D">
        <w:rPr>
          <w:sz w:val="28"/>
          <w:szCs w:val="28"/>
          <w:lang w:val="fr-FR"/>
        </w:rPr>
        <w:t>đ</w:t>
      </w:r>
      <w:r w:rsidR="00BC025D">
        <w:rPr>
          <w:sz w:val="28"/>
          <w:szCs w:val="28"/>
          <w:lang w:val="fr-FR"/>
        </w:rPr>
        <w:t>i</w:t>
      </w:r>
      <w:r w:rsidR="00BC025D" w:rsidRPr="00BC025D">
        <w:rPr>
          <w:sz w:val="28"/>
          <w:szCs w:val="28"/>
          <w:lang w:val="fr-FR"/>
        </w:rPr>
        <w:t>ểm</w:t>
      </w:r>
      <w:r w:rsidR="00BC025D">
        <w:rPr>
          <w:sz w:val="28"/>
          <w:szCs w:val="28"/>
          <w:lang w:val="fr-FR"/>
        </w:rPr>
        <w:t xml:space="preserve"> </w:t>
      </w:r>
      <w:r w:rsidR="00C20665">
        <w:rPr>
          <w:sz w:val="28"/>
          <w:szCs w:val="28"/>
          <w:lang w:val="fr-FR"/>
        </w:rPr>
        <w:t>Giấy chứng nhận bảo hiểm</w:t>
      </w:r>
      <w:r w:rsidR="00E62F82">
        <w:rPr>
          <w:sz w:val="28"/>
          <w:szCs w:val="28"/>
          <w:lang w:val="fr-FR"/>
        </w:rPr>
        <w:t xml:space="preserve"> bắt đầu có hiệu lực</w:t>
      </w:r>
      <w:r w:rsidRPr="009B6A75">
        <w:rPr>
          <w:sz w:val="28"/>
          <w:szCs w:val="28"/>
          <w:lang w:val="fr-FR"/>
        </w:rPr>
        <w:t xml:space="preserve">. </w:t>
      </w:r>
    </w:p>
    <w:p w:rsidR="003D7AB9" w:rsidRPr="003D7AB9" w:rsidRDefault="003D7AB9" w:rsidP="003D7AB9">
      <w:pPr>
        <w:spacing w:before="120" w:line="228" w:lineRule="auto"/>
        <w:ind w:firstLine="709"/>
        <w:jc w:val="both"/>
        <w:rPr>
          <w:sz w:val="28"/>
          <w:szCs w:val="28"/>
          <w:lang w:val="fr-FR"/>
        </w:rPr>
      </w:pPr>
      <w:r w:rsidRPr="003D7AB9">
        <w:rPr>
          <w:sz w:val="28"/>
          <w:szCs w:val="28"/>
          <w:lang w:val="fr-FR"/>
        </w:rPr>
        <w:lastRenderedPageBreak/>
        <w:t>- Trường hợp chủ xe cơ giới không phải là các cơ quan hành chính, đơn vị sự nghiệp của Nhà nước có nhiều xe cơ giới tham gia bảo hiểm tại cùng thời điểm và có tổng phí bảo hiểm phải nộp từ 100 triệu đồng trở lên, phí bảo hiểm được thanh toán thành 2 kỳ:</w:t>
      </w:r>
    </w:p>
    <w:p w:rsidR="009B6A75" w:rsidRPr="009B6A75" w:rsidRDefault="00CB1E30" w:rsidP="00E11ADD">
      <w:pPr>
        <w:spacing w:before="120" w:line="228" w:lineRule="auto"/>
        <w:ind w:firstLine="709"/>
        <w:jc w:val="both"/>
        <w:rPr>
          <w:sz w:val="28"/>
          <w:szCs w:val="28"/>
          <w:lang w:val="sv-SE"/>
        </w:rPr>
      </w:pPr>
      <w:r w:rsidRPr="009B6A75">
        <w:rPr>
          <w:sz w:val="28"/>
          <w:szCs w:val="28"/>
          <w:lang w:val="sv-SE"/>
        </w:rPr>
        <w:t xml:space="preserve">+ Kỳ 1: Chủ xe cơ giới thanh toán </w:t>
      </w:r>
      <w:r w:rsidR="003D7AB9" w:rsidRPr="003D7AB9">
        <w:rPr>
          <w:sz w:val="28"/>
          <w:szCs w:val="28"/>
          <w:lang w:val="sv-SE"/>
        </w:rPr>
        <w:t>đủ</w:t>
      </w:r>
      <w:r w:rsidR="003D7AB9">
        <w:rPr>
          <w:sz w:val="28"/>
          <w:szCs w:val="28"/>
          <w:lang w:val="sv-SE"/>
        </w:rPr>
        <w:t xml:space="preserve"> </w:t>
      </w:r>
      <w:r w:rsidRPr="009B6A75">
        <w:rPr>
          <w:sz w:val="28"/>
          <w:szCs w:val="28"/>
          <w:lang w:val="sv-SE"/>
        </w:rPr>
        <w:t>50% tổng phí bảo hiểm trước</w:t>
      </w:r>
      <w:r w:rsidR="00BC025D">
        <w:rPr>
          <w:sz w:val="28"/>
          <w:szCs w:val="28"/>
          <w:lang w:val="sv-SE"/>
        </w:rPr>
        <w:t xml:space="preserve"> </w:t>
      </w:r>
      <w:r w:rsidR="00BC025D">
        <w:rPr>
          <w:sz w:val="28"/>
          <w:szCs w:val="28"/>
          <w:lang w:val="fr-FR"/>
        </w:rPr>
        <w:t>th</w:t>
      </w:r>
      <w:r w:rsidR="00BC025D" w:rsidRPr="00BC025D">
        <w:rPr>
          <w:sz w:val="28"/>
          <w:szCs w:val="28"/>
          <w:lang w:val="fr-FR"/>
        </w:rPr>
        <w:t>ời</w:t>
      </w:r>
      <w:r w:rsidR="00BC025D">
        <w:rPr>
          <w:sz w:val="28"/>
          <w:szCs w:val="28"/>
          <w:lang w:val="fr-FR"/>
        </w:rPr>
        <w:t xml:space="preserve"> </w:t>
      </w:r>
      <w:r w:rsidR="00BC025D" w:rsidRPr="00BC025D">
        <w:rPr>
          <w:sz w:val="28"/>
          <w:szCs w:val="28"/>
          <w:lang w:val="fr-FR"/>
        </w:rPr>
        <w:t>đ</w:t>
      </w:r>
      <w:r w:rsidR="00BC025D">
        <w:rPr>
          <w:sz w:val="28"/>
          <w:szCs w:val="28"/>
          <w:lang w:val="fr-FR"/>
        </w:rPr>
        <w:t>i</w:t>
      </w:r>
      <w:r w:rsidR="00BC025D" w:rsidRPr="00BC025D">
        <w:rPr>
          <w:sz w:val="28"/>
          <w:szCs w:val="28"/>
          <w:lang w:val="fr-FR"/>
        </w:rPr>
        <w:t>ểm</w:t>
      </w:r>
      <w:r w:rsidRPr="009B6A75">
        <w:rPr>
          <w:sz w:val="28"/>
          <w:szCs w:val="28"/>
          <w:lang w:val="sv-SE"/>
        </w:rPr>
        <w:t xml:space="preserve"> Giấy chứng nhận bảo hiểm </w:t>
      </w:r>
      <w:r w:rsidR="009159B1">
        <w:rPr>
          <w:sz w:val="28"/>
          <w:szCs w:val="28"/>
          <w:lang w:val="sv-SE"/>
        </w:rPr>
        <w:t xml:space="preserve">bắt đầu </w:t>
      </w:r>
      <w:r w:rsidRPr="009B6A75">
        <w:rPr>
          <w:sz w:val="28"/>
          <w:szCs w:val="28"/>
          <w:lang w:val="sv-SE"/>
        </w:rPr>
        <w:t>có hiệu lực;</w:t>
      </w:r>
    </w:p>
    <w:p w:rsidR="003B0059" w:rsidRPr="00A64BBD" w:rsidRDefault="00CB1E30" w:rsidP="00E11ADD">
      <w:pPr>
        <w:spacing w:before="120" w:line="228" w:lineRule="auto"/>
        <w:ind w:firstLine="709"/>
        <w:jc w:val="both"/>
        <w:rPr>
          <w:sz w:val="28"/>
          <w:szCs w:val="28"/>
          <w:lang w:val="sv-SE"/>
        </w:rPr>
      </w:pPr>
      <w:r w:rsidRPr="009B6A75">
        <w:rPr>
          <w:sz w:val="28"/>
          <w:szCs w:val="28"/>
          <w:lang w:val="sv-SE"/>
        </w:rPr>
        <w:t>+ Kỳ 2: Chủ xe cơ giới thanh toán toàn</w:t>
      </w:r>
      <w:r w:rsidR="00CC3594">
        <w:rPr>
          <w:sz w:val="28"/>
          <w:szCs w:val="28"/>
          <w:lang w:val="sv-SE"/>
        </w:rPr>
        <w:t xml:space="preserve"> bộ số phí bảo hiểm còn lại trong thời hạn </w:t>
      </w:r>
      <w:r w:rsidRPr="009B6A75">
        <w:rPr>
          <w:sz w:val="28"/>
          <w:szCs w:val="28"/>
          <w:lang w:val="sv-SE"/>
        </w:rPr>
        <w:t xml:space="preserve">90 ngày kể từ </w:t>
      </w:r>
      <w:r w:rsidR="00BC025D">
        <w:rPr>
          <w:sz w:val="28"/>
          <w:szCs w:val="28"/>
          <w:lang w:val="fr-FR"/>
        </w:rPr>
        <w:t>th</w:t>
      </w:r>
      <w:r w:rsidR="00BC025D" w:rsidRPr="00BC025D">
        <w:rPr>
          <w:sz w:val="28"/>
          <w:szCs w:val="28"/>
          <w:lang w:val="fr-FR"/>
        </w:rPr>
        <w:t>ời</w:t>
      </w:r>
      <w:r w:rsidR="00BC025D">
        <w:rPr>
          <w:sz w:val="28"/>
          <w:szCs w:val="28"/>
          <w:lang w:val="fr-FR"/>
        </w:rPr>
        <w:t xml:space="preserve"> </w:t>
      </w:r>
      <w:r w:rsidR="00BC025D" w:rsidRPr="00BC025D">
        <w:rPr>
          <w:sz w:val="28"/>
          <w:szCs w:val="28"/>
          <w:lang w:val="fr-FR"/>
        </w:rPr>
        <w:t>đ</w:t>
      </w:r>
      <w:r w:rsidR="00BC025D">
        <w:rPr>
          <w:sz w:val="28"/>
          <w:szCs w:val="28"/>
          <w:lang w:val="fr-FR"/>
        </w:rPr>
        <w:t>i</w:t>
      </w:r>
      <w:r w:rsidR="00BC025D" w:rsidRPr="00BC025D">
        <w:rPr>
          <w:sz w:val="28"/>
          <w:szCs w:val="28"/>
          <w:lang w:val="fr-FR"/>
        </w:rPr>
        <w:t>ểm</w:t>
      </w:r>
      <w:r w:rsidRPr="009B6A75">
        <w:rPr>
          <w:sz w:val="28"/>
          <w:szCs w:val="28"/>
          <w:lang w:val="sv-SE"/>
        </w:rPr>
        <w:t xml:space="preserve"> Giấy chứng nhận bảo hiểm</w:t>
      </w:r>
      <w:r w:rsidR="009159B1">
        <w:rPr>
          <w:sz w:val="28"/>
          <w:szCs w:val="28"/>
          <w:lang w:val="sv-SE"/>
        </w:rPr>
        <w:t xml:space="preserve"> bắt đầu</w:t>
      </w:r>
      <w:r w:rsidRPr="009B6A75">
        <w:rPr>
          <w:sz w:val="28"/>
          <w:szCs w:val="28"/>
          <w:lang w:val="sv-SE"/>
        </w:rPr>
        <w:t xml:space="preserve"> có hiệu lực.</w:t>
      </w:r>
      <w:r w:rsidR="00A64BBD">
        <w:rPr>
          <w:sz w:val="28"/>
          <w:szCs w:val="28"/>
          <w:lang w:val="sv-SE"/>
        </w:rPr>
        <w:t xml:space="preserve"> </w:t>
      </w:r>
    </w:p>
    <w:p w:rsidR="009B6A75" w:rsidRDefault="003B0059" w:rsidP="00E11ADD">
      <w:pPr>
        <w:spacing w:before="120" w:after="120" w:line="228" w:lineRule="auto"/>
        <w:ind w:firstLine="709"/>
        <w:jc w:val="both"/>
        <w:rPr>
          <w:bCs/>
          <w:iCs/>
          <w:sz w:val="28"/>
          <w:szCs w:val="28"/>
          <w:lang w:val="sv-SE"/>
        </w:rPr>
      </w:pPr>
      <w:r w:rsidRPr="003B0059">
        <w:rPr>
          <w:sz w:val="28"/>
          <w:szCs w:val="28"/>
          <w:lang w:val="sv-SE"/>
        </w:rPr>
        <w:t xml:space="preserve">- </w:t>
      </w:r>
      <w:r w:rsidR="003A4252" w:rsidRPr="003B0059">
        <w:rPr>
          <w:sz w:val="28"/>
          <w:szCs w:val="28"/>
          <w:lang w:val="sv-SE"/>
        </w:rPr>
        <w:t>Trường hợp chủ xe cơ giới không đóng đủ phí bảo hiểm the</w:t>
      </w:r>
      <w:r w:rsidR="00D26D63" w:rsidRPr="003B0059">
        <w:rPr>
          <w:bCs/>
          <w:iCs/>
          <w:sz w:val="28"/>
          <w:szCs w:val="28"/>
          <w:lang w:val="sv-SE"/>
        </w:rPr>
        <w:t xml:space="preserve">o thời hạn </w:t>
      </w:r>
      <w:r w:rsidR="006D691D">
        <w:rPr>
          <w:bCs/>
          <w:iCs/>
          <w:sz w:val="28"/>
          <w:szCs w:val="28"/>
          <w:lang w:val="sv-SE"/>
        </w:rPr>
        <w:t xml:space="preserve">thỏa thuận </w:t>
      </w:r>
      <w:r w:rsidR="00D26D63" w:rsidRPr="003B0059">
        <w:rPr>
          <w:bCs/>
          <w:iCs/>
          <w:sz w:val="28"/>
          <w:szCs w:val="28"/>
          <w:lang w:val="sv-SE"/>
        </w:rPr>
        <w:t>nêu trên</w:t>
      </w:r>
      <w:r w:rsidR="003A4252" w:rsidRPr="003B0059">
        <w:rPr>
          <w:sz w:val="28"/>
          <w:szCs w:val="28"/>
          <w:lang w:val="sv-SE"/>
        </w:rPr>
        <w:t>, hợp đồng bảo hiểm sẽ chấm dứt hiệu lực vào ngày kế tiếp ngày chủ xe cơ giới phải đóng phí bảo hiểm. Trong</w:t>
      </w:r>
      <w:r w:rsidR="00340B9D" w:rsidRPr="003B0059">
        <w:rPr>
          <w:bCs/>
          <w:iCs/>
          <w:sz w:val="28"/>
          <w:szCs w:val="28"/>
          <w:lang w:val="sv-SE"/>
        </w:rPr>
        <w:t xml:space="preserve"> thời hạn 5 ngày </w:t>
      </w:r>
      <w:r w:rsidR="008A7C68">
        <w:rPr>
          <w:bCs/>
          <w:iCs/>
          <w:sz w:val="28"/>
          <w:szCs w:val="28"/>
          <w:lang w:val="sv-SE"/>
        </w:rPr>
        <w:t xml:space="preserve">làm việc </w:t>
      </w:r>
      <w:r w:rsidR="00340B9D" w:rsidRPr="00AD3442">
        <w:rPr>
          <w:sz w:val="28"/>
          <w:szCs w:val="28"/>
          <w:lang w:val="sv-SE"/>
        </w:rPr>
        <w:t>kể từ ngày hợp đồng bảo hiểm chấm dứt</w:t>
      </w:r>
      <w:r w:rsidR="005F133D" w:rsidRPr="00AD3442">
        <w:rPr>
          <w:sz w:val="28"/>
          <w:szCs w:val="28"/>
          <w:lang w:val="sv-SE"/>
        </w:rPr>
        <w:t xml:space="preserve"> hiệu lực</w:t>
      </w:r>
      <w:r w:rsidR="00340B9D" w:rsidRPr="00AD3442">
        <w:rPr>
          <w:sz w:val="28"/>
          <w:szCs w:val="28"/>
          <w:lang w:val="sv-SE"/>
        </w:rPr>
        <w:t>, doanh nghiệp bảo hiểm phải</w:t>
      </w:r>
      <w:r w:rsidR="00AD3442" w:rsidRPr="00AD3442">
        <w:rPr>
          <w:sz w:val="28"/>
          <w:szCs w:val="28"/>
          <w:lang w:val="sv-SE"/>
        </w:rPr>
        <w:t xml:space="preserve">  thông báo bằng văn bản cho chủ xe </w:t>
      </w:r>
      <w:r w:rsidR="006D691D">
        <w:rPr>
          <w:sz w:val="28"/>
          <w:szCs w:val="28"/>
          <w:lang w:val="sv-SE"/>
        </w:rPr>
        <w:t xml:space="preserve">cơ giới </w:t>
      </w:r>
      <w:r w:rsidR="00AD3442" w:rsidRPr="00AD3442">
        <w:rPr>
          <w:sz w:val="28"/>
          <w:szCs w:val="28"/>
          <w:lang w:val="sv-SE"/>
        </w:rPr>
        <w:t xml:space="preserve">về việc chấm dứt </w:t>
      </w:r>
      <w:r w:rsidR="006D691D">
        <w:rPr>
          <w:sz w:val="28"/>
          <w:szCs w:val="28"/>
          <w:lang w:val="sv-SE"/>
        </w:rPr>
        <w:t xml:space="preserve">hợp đồng bảo hiểm </w:t>
      </w:r>
      <w:r w:rsidR="00AD3442" w:rsidRPr="00AD3442">
        <w:rPr>
          <w:sz w:val="28"/>
          <w:szCs w:val="28"/>
          <w:lang w:val="sv-SE"/>
        </w:rPr>
        <w:t>và</w:t>
      </w:r>
      <w:r w:rsidR="00340B9D" w:rsidRPr="00AD3442">
        <w:rPr>
          <w:sz w:val="28"/>
          <w:szCs w:val="28"/>
          <w:lang w:val="sv-SE"/>
        </w:rPr>
        <w:t xml:space="preserve"> hoàn lại cho chủ xe </w:t>
      </w:r>
      <w:r w:rsidR="00827953" w:rsidRPr="00AD3442">
        <w:rPr>
          <w:sz w:val="28"/>
          <w:szCs w:val="28"/>
          <w:lang w:val="sv-SE"/>
        </w:rPr>
        <w:t>cơ giới</w:t>
      </w:r>
      <w:r w:rsidR="00827953" w:rsidRPr="003B0059">
        <w:rPr>
          <w:bCs/>
          <w:iCs/>
          <w:sz w:val="28"/>
          <w:szCs w:val="28"/>
          <w:lang w:val="sv-SE"/>
        </w:rPr>
        <w:t xml:space="preserve"> phần phí bảo hiểm đã đóng thừa</w:t>
      </w:r>
      <w:r w:rsidR="00FD2C11">
        <w:rPr>
          <w:bCs/>
          <w:iCs/>
          <w:sz w:val="28"/>
          <w:szCs w:val="28"/>
          <w:lang w:val="sv-SE"/>
        </w:rPr>
        <w:t xml:space="preserve"> (nếu có)</w:t>
      </w:r>
      <w:r w:rsidR="004940EC">
        <w:rPr>
          <w:bCs/>
          <w:iCs/>
          <w:sz w:val="28"/>
          <w:szCs w:val="28"/>
          <w:lang w:val="sv-SE"/>
        </w:rPr>
        <w:t xml:space="preserve"> hoặc yêu cầu chủ xe cơ giới đóng đủ phí bảo hiểm đến thời điểm chấm dứt hợp đồng bảo hiểm</w:t>
      </w:r>
      <w:r w:rsidR="00FD2C11">
        <w:rPr>
          <w:bCs/>
          <w:iCs/>
          <w:sz w:val="28"/>
          <w:szCs w:val="28"/>
          <w:lang w:val="sv-SE"/>
        </w:rPr>
        <w:t xml:space="preserve">. </w:t>
      </w:r>
      <w:r w:rsidR="005076A7">
        <w:rPr>
          <w:bCs/>
          <w:iCs/>
          <w:sz w:val="28"/>
          <w:szCs w:val="28"/>
          <w:lang w:val="sv-SE"/>
        </w:rPr>
        <w:t>Doanh nghiệp bảo hiểm không phải hoàn phí bảo hiểm trong trường hợp</w:t>
      </w:r>
      <w:r w:rsidR="009018B8">
        <w:rPr>
          <w:bCs/>
          <w:iCs/>
          <w:sz w:val="28"/>
          <w:szCs w:val="28"/>
          <w:lang w:val="sv-SE"/>
        </w:rPr>
        <w:t xml:space="preserve"> đã xảy ra sự kiện bảo hiểm và phát sinh trách nhiệm bồi thường bảo hiểm</w:t>
      </w:r>
      <w:r w:rsidR="004015D7">
        <w:rPr>
          <w:bCs/>
          <w:iCs/>
          <w:sz w:val="28"/>
          <w:szCs w:val="28"/>
          <w:lang w:val="sv-SE"/>
        </w:rPr>
        <w:t xml:space="preserve"> trước khi hợp đồng bảo hiểm bị chấm dứt</w:t>
      </w:r>
      <w:r w:rsidR="009018B8">
        <w:rPr>
          <w:bCs/>
          <w:iCs/>
          <w:sz w:val="28"/>
          <w:szCs w:val="28"/>
          <w:lang w:val="sv-SE"/>
        </w:rPr>
        <w:t xml:space="preserve">. </w:t>
      </w:r>
      <w:r w:rsidR="003A4252" w:rsidRPr="003B0059">
        <w:rPr>
          <w:sz w:val="28"/>
          <w:szCs w:val="28"/>
          <w:lang w:val="sv-SE"/>
        </w:rPr>
        <w:t xml:space="preserve">Doanh nghiệp bảo hiểm </w:t>
      </w:r>
      <w:r w:rsidR="00F52840" w:rsidRPr="003B0059">
        <w:rPr>
          <w:bCs/>
          <w:iCs/>
          <w:sz w:val="28"/>
          <w:szCs w:val="28"/>
          <w:lang w:val="sv-SE"/>
        </w:rPr>
        <w:t xml:space="preserve">không có trách nhiệm bồi thường cho người được bảo hiểm khi xảy ra sự kiện bảo hiểm trong thời gian hợp đồng bảo hiểm bị chấm dứt. </w:t>
      </w:r>
      <w:r w:rsidR="003A4252" w:rsidRPr="003B0059">
        <w:rPr>
          <w:sz w:val="28"/>
          <w:szCs w:val="28"/>
          <w:lang w:val="sv-SE"/>
        </w:rPr>
        <w:t xml:space="preserve">Hợp đồng bảo hiểm tiếp tục có hiệu lực </w:t>
      </w:r>
      <w:r w:rsidR="00827953" w:rsidRPr="003B0059">
        <w:rPr>
          <w:bCs/>
          <w:iCs/>
          <w:sz w:val="28"/>
          <w:szCs w:val="28"/>
          <w:lang w:val="sv-SE"/>
        </w:rPr>
        <w:t xml:space="preserve">kể </w:t>
      </w:r>
      <w:r w:rsidR="003A4252" w:rsidRPr="003B0059">
        <w:rPr>
          <w:sz w:val="28"/>
          <w:szCs w:val="28"/>
          <w:lang w:val="sv-SE"/>
        </w:rPr>
        <w:t>từ thời điểm chủ xe đóng đủ phí bảo hiểm và được doanh nghiệp bảo hiểm chấp thuận</w:t>
      </w:r>
      <w:r w:rsidR="00A46E18">
        <w:rPr>
          <w:sz w:val="28"/>
          <w:szCs w:val="28"/>
          <w:lang w:val="sv-SE"/>
        </w:rPr>
        <w:t xml:space="preserve"> bằng văn bản</w:t>
      </w:r>
      <w:r w:rsidR="003A4252" w:rsidRPr="003B0059">
        <w:rPr>
          <w:bCs/>
          <w:iCs/>
          <w:sz w:val="28"/>
          <w:szCs w:val="28"/>
          <w:lang w:val="sv-SE"/>
        </w:rPr>
        <w:t>”</w:t>
      </w:r>
      <w:r w:rsidR="00BD5CC7">
        <w:rPr>
          <w:bCs/>
          <w:iCs/>
          <w:sz w:val="28"/>
          <w:szCs w:val="28"/>
          <w:lang w:val="sv-SE"/>
        </w:rPr>
        <w:t>.</w:t>
      </w:r>
    </w:p>
    <w:p w:rsidR="00A64BBD" w:rsidRPr="003B0059" w:rsidRDefault="00A64BBD" w:rsidP="00E11ADD">
      <w:pPr>
        <w:spacing w:before="120" w:after="120" w:line="228" w:lineRule="auto"/>
        <w:ind w:firstLine="709"/>
        <w:jc w:val="both"/>
        <w:rPr>
          <w:bCs/>
          <w:iCs/>
          <w:sz w:val="28"/>
          <w:szCs w:val="28"/>
          <w:lang w:val="sv-SE"/>
        </w:rPr>
      </w:pPr>
      <w:r>
        <w:rPr>
          <w:bCs/>
          <w:iCs/>
          <w:sz w:val="28"/>
          <w:szCs w:val="28"/>
          <w:lang w:val="sv-SE"/>
        </w:rPr>
        <w:t>3. S</w:t>
      </w:r>
      <w:r w:rsidRPr="00A64BBD">
        <w:rPr>
          <w:bCs/>
          <w:iCs/>
          <w:sz w:val="28"/>
          <w:szCs w:val="28"/>
          <w:lang w:val="sv-SE"/>
        </w:rPr>
        <w:t>ửa</w:t>
      </w:r>
      <w:r>
        <w:rPr>
          <w:bCs/>
          <w:iCs/>
          <w:sz w:val="28"/>
          <w:szCs w:val="28"/>
          <w:lang w:val="sv-SE"/>
        </w:rPr>
        <w:t xml:space="preserve"> đ</w:t>
      </w:r>
      <w:r w:rsidRPr="00A64BBD">
        <w:rPr>
          <w:bCs/>
          <w:iCs/>
          <w:sz w:val="28"/>
          <w:szCs w:val="28"/>
          <w:lang w:val="sv-SE"/>
        </w:rPr>
        <w:t>ổi</w:t>
      </w:r>
      <w:r>
        <w:rPr>
          <w:bCs/>
          <w:iCs/>
          <w:sz w:val="28"/>
          <w:szCs w:val="28"/>
          <w:lang w:val="sv-SE"/>
        </w:rPr>
        <w:t xml:space="preserve"> </w:t>
      </w:r>
      <w:r w:rsidRPr="00A64BBD">
        <w:rPr>
          <w:bCs/>
          <w:iCs/>
          <w:sz w:val="28"/>
          <w:szCs w:val="28"/>
          <w:lang w:val="sv-SE"/>
        </w:rPr>
        <w:t>Đ</w:t>
      </w:r>
      <w:r>
        <w:rPr>
          <w:bCs/>
          <w:iCs/>
          <w:sz w:val="28"/>
          <w:szCs w:val="28"/>
          <w:lang w:val="sv-SE"/>
        </w:rPr>
        <w:t>i</w:t>
      </w:r>
      <w:r w:rsidRPr="00A64BBD">
        <w:rPr>
          <w:bCs/>
          <w:iCs/>
          <w:sz w:val="28"/>
          <w:szCs w:val="28"/>
          <w:lang w:val="sv-SE"/>
        </w:rPr>
        <w:t>ểm</w:t>
      </w:r>
      <w:r>
        <w:rPr>
          <w:bCs/>
          <w:iCs/>
          <w:sz w:val="28"/>
          <w:szCs w:val="28"/>
          <w:lang w:val="sv-SE"/>
        </w:rPr>
        <w:t xml:space="preserve"> 2.1, Kho</w:t>
      </w:r>
      <w:r w:rsidRPr="00A64BBD">
        <w:rPr>
          <w:bCs/>
          <w:iCs/>
          <w:sz w:val="28"/>
          <w:szCs w:val="28"/>
          <w:lang w:val="sv-SE"/>
        </w:rPr>
        <w:t>ản</w:t>
      </w:r>
      <w:r>
        <w:rPr>
          <w:bCs/>
          <w:iCs/>
          <w:sz w:val="28"/>
          <w:szCs w:val="28"/>
          <w:lang w:val="sv-SE"/>
        </w:rPr>
        <w:t xml:space="preserve"> 2 M</w:t>
      </w:r>
      <w:r w:rsidRPr="00A64BBD">
        <w:rPr>
          <w:bCs/>
          <w:iCs/>
          <w:sz w:val="28"/>
          <w:szCs w:val="28"/>
          <w:lang w:val="sv-SE"/>
        </w:rPr>
        <w:t>ục</w:t>
      </w:r>
      <w:r>
        <w:rPr>
          <w:bCs/>
          <w:iCs/>
          <w:sz w:val="28"/>
          <w:szCs w:val="28"/>
          <w:lang w:val="sv-SE"/>
        </w:rPr>
        <w:t xml:space="preserve"> </w:t>
      </w:r>
      <w:r w:rsidR="00BC025D">
        <w:rPr>
          <w:bCs/>
          <w:iCs/>
          <w:sz w:val="28"/>
          <w:szCs w:val="28"/>
          <w:lang w:val="sv-SE"/>
        </w:rPr>
        <w:t>II</w:t>
      </w:r>
      <w:r>
        <w:rPr>
          <w:bCs/>
          <w:iCs/>
          <w:sz w:val="28"/>
          <w:szCs w:val="28"/>
          <w:lang w:val="sv-SE"/>
        </w:rPr>
        <w:t xml:space="preserve"> nh</w:t>
      </w:r>
      <w:r w:rsidRPr="00A64BBD">
        <w:rPr>
          <w:bCs/>
          <w:iCs/>
          <w:sz w:val="28"/>
          <w:szCs w:val="28"/>
          <w:lang w:val="sv-SE"/>
        </w:rPr>
        <w:t>ư</w:t>
      </w:r>
      <w:r>
        <w:rPr>
          <w:bCs/>
          <w:iCs/>
          <w:sz w:val="28"/>
          <w:szCs w:val="28"/>
          <w:lang w:val="sv-SE"/>
        </w:rPr>
        <w:t xml:space="preserve"> sau</w:t>
      </w:r>
      <w:r w:rsidR="00620B29">
        <w:rPr>
          <w:bCs/>
          <w:iCs/>
          <w:sz w:val="28"/>
          <w:szCs w:val="28"/>
          <w:lang w:val="sv-SE"/>
        </w:rPr>
        <w:t>:</w:t>
      </w:r>
    </w:p>
    <w:p w:rsidR="00A64BBD" w:rsidRPr="00A64BBD" w:rsidRDefault="00A64BBD" w:rsidP="00E11ADD">
      <w:pPr>
        <w:pStyle w:val="Heading2"/>
        <w:tabs>
          <w:tab w:val="clear" w:pos="709"/>
        </w:tabs>
        <w:spacing w:before="240" w:after="60" w:line="228" w:lineRule="auto"/>
        <w:ind w:firstLine="709"/>
        <w:jc w:val="both"/>
        <w:rPr>
          <w:rFonts w:ascii="Times New Roman" w:hAnsi="Times New Roman" w:cs="Times New Roman"/>
          <w:b w:val="0"/>
          <w:i w:val="0"/>
          <w:lang w:val="sv-SE"/>
        </w:rPr>
      </w:pPr>
      <w:r w:rsidRPr="0038579B">
        <w:rPr>
          <w:rFonts w:ascii="Times New Roman" w:hAnsi="Times New Roman" w:cs="Times New Roman"/>
          <w:b w:val="0"/>
          <w:i w:val="0"/>
          <w:lang w:val="sv-SE"/>
        </w:rPr>
        <w:t>“</w:t>
      </w:r>
      <w:r w:rsidR="00613CD6">
        <w:rPr>
          <w:rFonts w:ascii="Times New Roman" w:hAnsi="Times New Roman" w:cs="Times New Roman"/>
          <w:b w:val="0"/>
          <w:i w:val="0"/>
          <w:lang w:val="sv-SE"/>
        </w:rPr>
        <w:t xml:space="preserve">2.1. </w:t>
      </w:r>
      <w:r w:rsidRPr="0038579B">
        <w:rPr>
          <w:rFonts w:ascii="Times New Roman" w:hAnsi="Times New Roman" w:cs="Times New Roman"/>
          <w:b w:val="0"/>
          <w:i w:val="0"/>
          <w:lang w:val="sv-SE"/>
        </w:rPr>
        <w:t>Thời điểm bắt đầu có hiệu lực của Giấy chứng nhận bảo hiểm được ghi cụ thể trên Giấy chứng nhận bảo hiểm nhưng không được trước thời điểm chủ xe cơ giới đóng đủ phí bảo hiểm trừ một số trường hợp đặc thù doanh ngh</w:t>
      </w:r>
      <w:r w:rsidR="00693829">
        <w:rPr>
          <w:rFonts w:ascii="Times New Roman" w:hAnsi="Times New Roman" w:cs="Times New Roman"/>
          <w:b w:val="0"/>
          <w:i w:val="0"/>
          <w:lang w:val="sv-SE"/>
        </w:rPr>
        <w:t xml:space="preserve">iệp bảo hiểm và chủ xe cơ giới </w:t>
      </w:r>
      <w:r w:rsidRPr="0038579B">
        <w:rPr>
          <w:rFonts w:ascii="Times New Roman" w:hAnsi="Times New Roman" w:cs="Times New Roman"/>
          <w:b w:val="0"/>
          <w:i w:val="0"/>
          <w:lang w:val="sv-SE"/>
        </w:rPr>
        <w:t xml:space="preserve">có thỏa thuận bằng văn bản về thời hạn thanh toán phí bảo hiểm theo quy định tại </w:t>
      </w:r>
      <w:r w:rsidR="00346F2E">
        <w:rPr>
          <w:rFonts w:ascii="Times New Roman" w:hAnsi="Times New Roman" w:cs="Times New Roman"/>
          <w:b w:val="0"/>
          <w:i w:val="0"/>
          <w:lang w:val="sv-SE"/>
        </w:rPr>
        <w:t>Khoản 2</w:t>
      </w:r>
      <w:r w:rsidR="008A7C68">
        <w:rPr>
          <w:rFonts w:ascii="Times New Roman" w:hAnsi="Times New Roman" w:cs="Times New Roman"/>
          <w:b w:val="0"/>
          <w:i w:val="0"/>
          <w:lang w:val="sv-SE"/>
        </w:rPr>
        <w:t xml:space="preserve">, </w:t>
      </w:r>
      <w:r w:rsidR="00346F2E">
        <w:rPr>
          <w:rFonts w:ascii="Times New Roman" w:hAnsi="Times New Roman" w:cs="Times New Roman"/>
          <w:b w:val="0"/>
          <w:i w:val="0"/>
          <w:lang w:val="sv-SE"/>
        </w:rPr>
        <w:t xml:space="preserve">Điều 1 </w:t>
      </w:r>
      <w:r w:rsidR="008A7C68">
        <w:rPr>
          <w:rFonts w:ascii="Times New Roman" w:hAnsi="Times New Roman" w:cs="Times New Roman"/>
          <w:b w:val="0"/>
          <w:i w:val="0"/>
          <w:lang w:val="sv-SE"/>
        </w:rPr>
        <w:t>Thông tư này</w:t>
      </w:r>
      <w:r w:rsidRPr="0038579B">
        <w:rPr>
          <w:rFonts w:ascii="Times New Roman" w:hAnsi="Times New Roman" w:cs="Times New Roman"/>
          <w:b w:val="0"/>
          <w:i w:val="0"/>
          <w:lang w:val="sv-SE"/>
        </w:rPr>
        <w:t>”.</w:t>
      </w:r>
    </w:p>
    <w:p w:rsidR="003A4252" w:rsidRPr="009B6A75" w:rsidRDefault="00A64BBD" w:rsidP="00E11ADD">
      <w:pPr>
        <w:pStyle w:val="Heading2"/>
        <w:tabs>
          <w:tab w:val="clear" w:pos="709"/>
        </w:tabs>
        <w:spacing w:before="240" w:after="60" w:line="228" w:lineRule="auto"/>
        <w:ind w:firstLine="709"/>
        <w:jc w:val="both"/>
        <w:rPr>
          <w:rFonts w:ascii="Times New Roman" w:hAnsi="Times New Roman" w:cs="Times New Roman"/>
          <w:b w:val="0"/>
          <w:bCs w:val="0"/>
          <w:i w:val="0"/>
          <w:iCs w:val="0"/>
          <w:lang w:val="sv-SE"/>
        </w:rPr>
      </w:pPr>
      <w:r>
        <w:rPr>
          <w:rFonts w:ascii="Times New Roman" w:hAnsi="Times New Roman" w:cs="Times New Roman"/>
          <w:b w:val="0"/>
          <w:i w:val="0"/>
          <w:lang w:val="sv-SE"/>
        </w:rPr>
        <w:t>4</w:t>
      </w:r>
      <w:r w:rsidR="009B6A75">
        <w:rPr>
          <w:rFonts w:ascii="Times New Roman" w:hAnsi="Times New Roman" w:cs="Times New Roman"/>
          <w:b w:val="0"/>
          <w:i w:val="0"/>
          <w:lang w:val="sv-SE"/>
        </w:rPr>
        <w:t xml:space="preserve">. </w:t>
      </w:r>
      <w:r w:rsidR="00A46E18">
        <w:rPr>
          <w:rFonts w:ascii="Times New Roman" w:hAnsi="Times New Roman" w:cs="Times New Roman"/>
          <w:b w:val="0"/>
          <w:i w:val="0"/>
          <w:lang w:val="sv-SE"/>
        </w:rPr>
        <w:t>Bổ sung Tiết d</w:t>
      </w:r>
      <w:r w:rsidR="003A4252" w:rsidRPr="009B6A75">
        <w:rPr>
          <w:rFonts w:ascii="Times New Roman" w:hAnsi="Times New Roman" w:cs="Times New Roman"/>
          <w:b w:val="0"/>
          <w:i w:val="0"/>
          <w:lang w:val="sv-SE"/>
        </w:rPr>
        <w:t>, Điểm</w:t>
      </w:r>
      <w:r w:rsidR="003B0059">
        <w:rPr>
          <w:rFonts w:ascii="Times New Roman" w:hAnsi="Times New Roman" w:cs="Times New Roman"/>
          <w:b w:val="0"/>
          <w:i w:val="0"/>
          <w:lang w:val="sv-SE"/>
        </w:rPr>
        <w:t xml:space="preserve"> 2.2, </w:t>
      </w:r>
      <w:r w:rsidR="003A4252" w:rsidRPr="009B6A75">
        <w:rPr>
          <w:rFonts w:ascii="Times New Roman" w:hAnsi="Times New Roman" w:cs="Times New Roman"/>
          <w:b w:val="0"/>
          <w:i w:val="0"/>
          <w:lang w:val="sv-SE"/>
        </w:rPr>
        <w:t>K</w:t>
      </w:r>
      <w:r w:rsidR="003B0059">
        <w:rPr>
          <w:rFonts w:ascii="Times New Roman" w:hAnsi="Times New Roman" w:cs="Times New Roman"/>
          <w:b w:val="0"/>
          <w:i w:val="0"/>
          <w:lang w:val="sv-SE"/>
        </w:rPr>
        <w:t>hoản 2, M</w:t>
      </w:r>
      <w:r w:rsidR="003A4252" w:rsidRPr="009B6A75">
        <w:rPr>
          <w:rFonts w:ascii="Times New Roman" w:hAnsi="Times New Roman" w:cs="Times New Roman"/>
          <w:b w:val="0"/>
          <w:i w:val="0"/>
          <w:lang w:val="sv-SE"/>
        </w:rPr>
        <w:t>ục II như sau:</w:t>
      </w:r>
    </w:p>
    <w:p w:rsidR="004508D6" w:rsidRDefault="003A4252" w:rsidP="00E11ADD">
      <w:pPr>
        <w:spacing w:before="120" w:after="120" w:line="228" w:lineRule="auto"/>
        <w:ind w:firstLine="709"/>
        <w:jc w:val="both"/>
        <w:rPr>
          <w:sz w:val="28"/>
          <w:szCs w:val="28"/>
          <w:lang w:val="fr-FR"/>
        </w:rPr>
      </w:pPr>
      <w:r w:rsidRPr="003B0059">
        <w:rPr>
          <w:sz w:val="28"/>
          <w:szCs w:val="28"/>
          <w:lang w:val="fr-FR"/>
        </w:rPr>
        <w:t>“</w:t>
      </w:r>
      <w:r w:rsidR="00A46E18">
        <w:rPr>
          <w:sz w:val="28"/>
          <w:szCs w:val="28"/>
          <w:lang w:val="fr-FR"/>
        </w:rPr>
        <w:t xml:space="preserve">d) </w:t>
      </w:r>
      <w:r w:rsidRPr="003B0059">
        <w:rPr>
          <w:sz w:val="28"/>
          <w:szCs w:val="28"/>
          <w:lang w:val="fr-FR"/>
        </w:rPr>
        <w:t xml:space="preserve">Trường hợp </w:t>
      </w:r>
      <w:r w:rsidR="005A05C0">
        <w:rPr>
          <w:sz w:val="28"/>
          <w:szCs w:val="28"/>
          <w:lang w:val="fr-FR"/>
        </w:rPr>
        <w:t xml:space="preserve">chủ xe cơ giới có nhiều xe tham gia bảo hiểm vào nhiều thời điểm khác nhau trong năm </w:t>
      </w:r>
      <w:r w:rsidRPr="003B0059">
        <w:rPr>
          <w:sz w:val="28"/>
          <w:szCs w:val="28"/>
          <w:lang w:val="fr-FR"/>
        </w:rPr>
        <w:t xml:space="preserve">nhưng đến năm tiếp theo có nhu cầu đưa về cùng một thời </w:t>
      </w:r>
      <w:r w:rsidR="005A05C0">
        <w:rPr>
          <w:sz w:val="28"/>
          <w:szCs w:val="28"/>
          <w:lang w:val="fr-FR"/>
        </w:rPr>
        <w:t>điểm bảo hiểm để quản lý, t</w:t>
      </w:r>
      <w:r w:rsidRPr="003B0059">
        <w:rPr>
          <w:sz w:val="28"/>
          <w:szCs w:val="28"/>
          <w:lang w:val="fr-FR"/>
        </w:rPr>
        <w:t xml:space="preserve">hời hạn bảo hiểm </w:t>
      </w:r>
      <w:r w:rsidR="005A05C0">
        <w:rPr>
          <w:sz w:val="28"/>
          <w:szCs w:val="28"/>
          <w:lang w:val="fr-FR"/>
        </w:rPr>
        <w:t>của các xe này có thể nhỏ hơn 0</w:t>
      </w:r>
      <w:r w:rsidRPr="003B0059">
        <w:rPr>
          <w:sz w:val="28"/>
          <w:szCs w:val="28"/>
          <w:lang w:val="fr-FR"/>
        </w:rPr>
        <w:t>1 năm</w:t>
      </w:r>
      <w:r w:rsidR="00BF2A5E">
        <w:rPr>
          <w:sz w:val="28"/>
          <w:szCs w:val="28"/>
          <w:lang w:val="fr-FR"/>
        </w:rPr>
        <w:t xml:space="preserve"> và bằng thời gian hiệu lực còn lại của hợp đồng bảo hiểm </w:t>
      </w:r>
      <w:r w:rsidR="00573920">
        <w:rPr>
          <w:sz w:val="28"/>
          <w:szCs w:val="28"/>
          <w:lang w:val="fr-FR"/>
        </w:rPr>
        <w:t xml:space="preserve">đầu tiên của </w:t>
      </w:r>
      <w:r w:rsidR="00BF2A5E">
        <w:rPr>
          <w:sz w:val="28"/>
          <w:szCs w:val="28"/>
          <w:lang w:val="fr-FR"/>
        </w:rPr>
        <w:t>năm đó</w:t>
      </w:r>
      <w:r w:rsidR="00A53D3F">
        <w:rPr>
          <w:sz w:val="28"/>
          <w:szCs w:val="28"/>
          <w:lang w:val="fr-FR"/>
        </w:rPr>
        <w:t xml:space="preserve">. </w:t>
      </w:r>
      <w:r w:rsidRPr="003B0059">
        <w:rPr>
          <w:sz w:val="28"/>
          <w:szCs w:val="28"/>
          <w:lang w:val="fr-FR"/>
        </w:rPr>
        <w:t>Thời hạn bảo hiểm của nă</w:t>
      </w:r>
      <w:r w:rsidR="00BF2A5E">
        <w:rPr>
          <w:sz w:val="28"/>
          <w:szCs w:val="28"/>
          <w:lang w:val="fr-FR"/>
        </w:rPr>
        <w:t>m tiếp theo đối với tất cả các h</w:t>
      </w:r>
      <w:r w:rsidRPr="003B0059">
        <w:rPr>
          <w:sz w:val="28"/>
          <w:szCs w:val="28"/>
          <w:lang w:val="fr-FR"/>
        </w:rPr>
        <w:t>ợp đồng bảo hiểm (đã được đưa về cùng thời hạn) là 01 năm</w:t>
      </w:r>
      <w:r w:rsidRPr="00E27CA2">
        <w:rPr>
          <w:bCs/>
          <w:iCs/>
          <w:sz w:val="28"/>
          <w:szCs w:val="28"/>
          <w:lang w:val="sv-SE"/>
        </w:rPr>
        <w:t>”</w:t>
      </w:r>
      <w:r w:rsidR="00A64BBD" w:rsidRPr="0064700B">
        <w:rPr>
          <w:bCs/>
          <w:iCs/>
          <w:sz w:val="28"/>
          <w:szCs w:val="28"/>
          <w:lang w:val="sv-SE"/>
        </w:rPr>
        <w:t>.</w:t>
      </w:r>
    </w:p>
    <w:p w:rsidR="003A4252" w:rsidRDefault="00A64BBD" w:rsidP="00E11ADD">
      <w:pPr>
        <w:spacing w:before="240" w:after="160" w:line="228" w:lineRule="auto"/>
        <w:ind w:firstLine="709"/>
        <w:jc w:val="both"/>
        <w:rPr>
          <w:sz w:val="28"/>
          <w:szCs w:val="28"/>
          <w:lang w:val="sv-SE"/>
        </w:rPr>
      </w:pPr>
      <w:r w:rsidRPr="0038579B">
        <w:rPr>
          <w:sz w:val="28"/>
          <w:szCs w:val="28"/>
          <w:lang w:val="fr-FR"/>
        </w:rPr>
        <w:t>5</w:t>
      </w:r>
      <w:r w:rsidR="00446E96" w:rsidRPr="0038579B">
        <w:rPr>
          <w:sz w:val="28"/>
          <w:szCs w:val="28"/>
          <w:lang w:val="fr-FR"/>
        </w:rPr>
        <w:t xml:space="preserve">. </w:t>
      </w:r>
      <w:r w:rsidR="00446E96">
        <w:rPr>
          <w:sz w:val="28"/>
          <w:szCs w:val="28"/>
          <w:lang w:val="sv-SE"/>
        </w:rPr>
        <w:t>Sửa đổi, bổ sung K</w:t>
      </w:r>
      <w:r w:rsidR="003A4252" w:rsidRPr="00446E96">
        <w:rPr>
          <w:sz w:val="28"/>
          <w:szCs w:val="28"/>
          <w:lang w:val="sv-SE"/>
        </w:rPr>
        <w:t>hoản 4</w:t>
      </w:r>
      <w:r w:rsidR="00446E96">
        <w:rPr>
          <w:sz w:val="28"/>
          <w:szCs w:val="28"/>
          <w:lang w:val="sv-SE"/>
        </w:rPr>
        <w:t>, M</w:t>
      </w:r>
      <w:r w:rsidR="003A4252" w:rsidRPr="00446E96">
        <w:rPr>
          <w:sz w:val="28"/>
          <w:szCs w:val="28"/>
          <w:lang w:val="sv-SE"/>
        </w:rPr>
        <w:t xml:space="preserve">ục II </w:t>
      </w:r>
      <w:r w:rsidR="003A4252" w:rsidRPr="002548B2">
        <w:rPr>
          <w:sz w:val="28"/>
          <w:szCs w:val="28"/>
          <w:lang w:val="sv-SE"/>
        </w:rPr>
        <w:t>như sau:</w:t>
      </w:r>
    </w:p>
    <w:p w:rsidR="003A4252" w:rsidRPr="0038579B" w:rsidRDefault="00446E96" w:rsidP="00E11ADD">
      <w:pPr>
        <w:spacing w:before="160" w:after="160" w:line="228" w:lineRule="auto"/>
        <w:ind w:firstLine="709"/>
        <w:jc w:val="both"/>
        <w:rPr>
          <w:sz w:val="28"/>
          <w:szCs w:val="28"/>
          <w:lang w:val="sv-SE"/>
        </w:rPr>
      </w:pPr>
      <w:r w:rsidRPr="0038579B">
        <w:rPr>
          <w:sz w:val="28"/>
          <w:szCs w:val="28"/>
          <w:lang w:val="sv-SE"/>
        </w:rPr>
        <w:t>“</w:t>
      </w:r>
      <w:r w:rsidR="003A4252" w:rsidRPr="00EB5287">
        <w:rPr>
          <w:sz w:val="28"/>
          <w:szCs w:val="28"/>
          <w:lang w:val="sv-SE"/>
        </w:rPr>
        <w:t>Mức trách nhiệm bảo hiểm là số tiền tối đa doanh nghiệp bảo hiểm có thể phải trả đối với thiệt hại về thân thể, tính mạng và tài sản của bên thứ ba và hành khách do xe cơ giới gây ra trong mỗi vụ tai nạn xảy ra thuộc phạm vi trách nhiệm bảo hiểm. Cụ thể như sau:</w:t>
      </w:r>
    </w:p>
    <w:p w:rsidR="00C96D7A" w:rsidRPr="00C96D7A" w:rsidRDefault="00C96D7A" w:rsidP="00E11ADD">
      <w:pPr>
        <w:spacing w:before="120" w:after="120" w:line="228" w:lineRule="auto"/>
        <w:ind w:firstLine="709"/>
        <w:jc w:val="both"/>
        <w:rPr>
          <w:sz w:val="28"/>
          <w:szCs w:val="28"/>
          <w:lang w:val="sv-SE"/>
        </w:rPr>
      </w:pPr>
      <w:r w:rsidRPr="00C96D7A">
        <w:rPr>
          <w:sz w:val="28"/>
          <w:szCs w:val="28"/>
          <w:lang w:val="sv-SE"/>
        </w:rPr>
        <w:t>4.1. Mức trách nhiệm bảo hiểm đối với thiệt hại về người do xe cơ giới gây ra là 70.000.000 đồng/1 người/1 vụ tai nạn.</w:t>
      </w:r>
    </w:p>
    <w:p w:rsidR="00C96D7A" w:rsidRPr="00C96D7A" w:rsidRDefault="00C96D7A" w:rsidP="00E11ADD">
      <w:pPr>
        <w:spacing w:before="120" w:after="120" w:line="228" w:lineRule="auto"/>
        <w:ind w:firstLine="709"/>
        <w:jc w:val="both"/>
        <w:rPr>
          <w:sz w:val="28"/>
          <w:szCs w:val="28"/>
          <w:lang w:val="sv-SE"/>
        </w:rPr>
      </w:pPr>
      <w:r w:rsidRPr="00C96D7A">
        <w:rPr>
          <w:sz w:val="28"/>
          <w:szCs w:val="28"/>
          <w:lang w:val="sv-SE"/>
        </w:rPr>
        <w:lastRenderedPageBreak/>
        <w:t>4.2. Mức trách nhiệm bảo hiểm đối với thiệt hại về tài sản do xe mô tô hai bánh, xe mô tô ba bánh, xe gắn máy và các loại xe cơ giới tương tự (kể cả xe cơ giới dùng</w:t>
      </w:r>
      <w:r w:rsidR="00DD71D9">
        <w:rPr>
          <w:sz w:val="28"/>
          <w:szCs w:val="28"/>
          <w:lang w:val="sv-SE"/>
        </w:rPr>
        <w:t xml:space="preserve"> cho người tàn tật) gây ra là </w:t>
      </w:r>
      <w:r w:rsidR="00D45C06">
        <w:rPr>
          <w:sz w:val="28"/>
          <w:szCs w:val="28"/>
          <w:lang w:val="sv-SE"/>
        </w:rPr>
        <w:t>4</w:t>
      </w:r>
      <w:r w:rsidR="00A64BBD">
        <w:rPr>
          <w:sz w:val="28"/>
          <w:szCs w:val="28"/>
          <w:lang w:val="sv-SE"/>
        </w:rPr>
        <w:t>0</w:t>
      </w:r>
      <w:r w:rsidRPr="006206BC">
        <w:rPr>
          <w:sz w:val="28"/>
          <w:szCs w:val="28"/>
          <w:lang w:val="sv-SE"/>
        </w:rPr>
        <w:t>.000.000 đồng/1 vụ tai nạn.</w:t>
      </w:r>
    </w:p>
    <w:p w:rsidR="00AB6576" w:rsidRDefault="00C96D7A" w:rsidP="00E11ADD">
      <w:pPr>
        <w:spacing w:before="120" w:after="120" w:line="228" w:lineRule="auto"/>
        <w:ind w:firstLine="709"/>
        <w:jc w:val="both"/>
        <w:rPr>
          <w:sz w:val="28"/>
          <w:szCs w:val="28"/>
          <w:lang w:val="sv-SE"/>
        </w:rPr>
      </w:pPr>
      <w:r w:rsidRPr="00C96D7A">
        <w:rPr>
          <w:sz w:val="28"/>
          <w:szCs w:val="28"/>
          <w:lang w:val="sv-SE"/>
        </w:rPr>
        <w:t>4.3. Mức trách nhiệm bảo hiểm đối với thiệt hại về tài sản do xe ô tô, máy kéo, xe máy thi công, xe máy nông nghiệp, lâm nghiệp và các loại xe đặc chủng khác sử dụng vào mục đích an ninh, quốc phòng (kể cả rơ-moóc và sơ mi rơ-</w:t>
      </w:r>
      <w:r w:rsidR="007306B3">
        <w:rPr>
          <w:sz w:val="28"/>
          <w:szCs w:val="28"/>
          <w:lang w:val="sv-SE"/>
        </w:rPr>
        <w:t>m</w:t>
      </w:r>
      <w:r w:rsidRPr="00C96D7A">
        <w:rPr>
          <w:sz w:val="28"/>
          <w:szCs w:val="28"/>
          <w:lang w:val="sv-SE"/>
        </w:rPr>
        <w:t xml:space="preserve">oóc được kéo bởi xe ô tô hoặc máy kéo) gây ra </w:t>
      </w:r>
      <w:r w:rsidR="00E27CA2">
        <w:rPr>
          <w:sz w:val="28"/>
          <w:szCs w:val="28"/>
          <w:lang w:val="sv-SE"/>
        </w:rPr>
        <w:t>là 70.000.000 đồng/1 vụ tai nạn</w:t>
      </w:r>
      <w:r w:rsidR="00A311F3">
        <w:rPr>
          <w:sz w:val="28"/>
          <w:szCs w:val="28"/>
          <w:lang w:val="sv-SE"/>
        </w:rPr>
        <w:t>”</w:t>
      </w:r>
      <w:r w:rsidR="00E27CA2">
        <w:rPr>
          <w:sz w:val="28"/>
          <w:szCs w:val="28"/>
          <w:lang w:val="sv-SE"/>
        </w:rPr>
        <w:t>.</w:t>
      </w:r>
    </w:p>
    <w:p w:rsidR="00AB6576" w:rsidRPr="00FA4BCF" w:rsidRDefault="00A64BBD" w:rsidP="00E11ADD">
      <w:pPr>
        <w:spacing w:before="240" w:after="120" w:line="228" w:lineRule="auto"/>
        <w:ind w:firstLine="709"/>
        <w:jc w:val="both"/>
        <w:rPr>
          <w:sz w:val="28"/>
          <w:szCs w:val="28"/>
          <w:lang w:val="sv-SE"/>
        </w:rPr>
      </w:pPr>
      <w:r>
        <w:rPr>
          <w:sz w:val="28"/>
          <w:szCs w:val="28"/>
          <w:lang w:val="sv-SE"/>
        </w:rPr>
        <w:t>6</w:t>
      </w:r>
      <w:r w:rsidR="00AB6576">
        <w:rPr>
          <w:sz w:val="28"/>
          <w:szCs w:val="28"/>
          <w:lang w:val="sv-SE"/>
        </w:rPr>
        <w:t>. Sửa đổi, bổ sung Đ</w:t>
      </w:r>
      <w:r w:rsidR="00AB6576" w:rsidRPr="00FA4BCF">
        <w:rPr>
          <w:sz w:val="28"/>
          <w:szCs w:val="28"/>
          <w:lang w:val="sv-SE"/>
        </w:rPr>
        <w:t>iểm 7.3</w:t>
      </w:r>
      <w:r w:rsidR="00AB6576">
        <w:rPr>
          <w:sz w:val="28"/>
          <w:szCs w:val="28"/>
          <w:lang w:val="sv-SE"/>
        </w:rPr>
        <w:t>, Khoản 7, M</w:t>
      </w:r>
      <w:r w:rsidR="00AB6576" w:rsidRPr="00FA4BCF">
        <w:rPr>
          <w:sz w:val="28"/>
          <w:szCs w:val="28"/>
          <w:lang w:val="sv-SE"/>
        </w:rPr>
        <w:t>ục II như sau:</w:t>
      </w:r>
    </w:p>
    <w:p w:rsidR="00AB6576" w:rsidRPr="00774931" w:rsidRDefault="00AB6576" w:rsidP="00E11ADD">
      <w:pPr>
        <w:spacing w:before="120" w:after="120" w:line="228" w:lineRule="auto"/>
        <w:ind w:firstLine="709"/>
        <w:jc w:val="both"/>
        <w:rPr>
          <w:sz w:val="28"/>
          <w:szCs w:val="28"/>
          <w:lang w:val="es-ES"/>
        </w:rPr>
      </w:pPr>
      <w:r w:rsidRPr="00774931">
        <w:rPr>
          <w:sz w:val="28"/>
          <w:szCs w:val="28"/>
          <w:lang w:val="es-ES"/>
        </w:rPr>
        <w:t>“Doanh nghiệp bảo hiểm không bồi thường thiệt hại đối với các trường hợp sau:</w:t>
      </w:r>
    </w:p>
    <w:p w:rsidR="00AB6576" w:rsidRPr="00FA1F9A" w:rsidRDefault="00AB6576" w:rsidP="00E11ADD">
      <w:pPr>
        <w:spacing w:before="120" w:after="120" w:line="228" w:lineRule="auto"/>
        <w:ind w:firstLine="709"/>
        <w:jc w:val="both"/>
        <w:rPr>
          <w:sz w:val="28"/>
          <w:szCs w:val="28"/>
          <w:lang w:val="es-ES"/>
        </w:rPr>
      </w:pPr>
      <w:r w:rsidRPr="00774931">
        <w:rPr>
          <w:sz w:val="28"/>
          <w:szCs w:val="28"/>
          <w:lang w:val="es-ES"/>
        </w:rPr>
        <w:t>7.3. Lái xe k</w:t>
      </w:r>
      <w:r>
        <w:rPr>
          <w:sz w:val="28"/>
          <w:szCs w:val="28"/>
          <w:lang w:val="es-ES"/>
        </w:rPr>
        <w:t xml:space="preserve">hông có Giấy phép lái xe </w:t>
      </w:r>
      <w:r w:rsidRPr="00774931">
        <w:rPr>
          <w:sz w:val="28"/>
          <w:szCs w:val="28"/>
          <w:lang w:val="es-ES"/>
        </w:rPr>
        <w:t>hoặc Giấy phép lái xe không phù hợp đối với loại xe cơ giới bắt buộc phải có Giấy phép lái xe.</w:t>
      </w:r>
      <w:r>
        <w:rPr>
          <w:sz w:val="28"/>
          <w:szCs w:val="28"/>
          <w:lang w:val="es-ES"/>
        </w:rPr>
        <w:t xml:space="preserve"> </w:t>
      </w:r>
      <w:r w:rsidRPr="00AB6576">
        <w:rPr>
          <w:sz w:val="28"/>
          <w:szCs w:val="28"/>
          <w:lang w:val="es-ES"/>
        </w:rPr>
        <w:t xml:space="preserve">Trường hợp </w:t>
      </w:r>
      <w:r w:rsidR="00986D22">
        <w:rPr>
          <w:sz w:val="28"/>
          <w:szCs w:val="28"/>
          <w:lang w:val="es-ES"/>
        </w:rPr>
        <w:t xml:space="preserve">lái xe </w:t>
      </w:r>
      <w:r w:rsidRPr="00AB6576">
        <w:rPr>
          <w:sz w:val="28"/>
          <w:szCs w:val="28"/>
          <w:lang w:val="es-ES"/>
        </w:rPr>
        <w:t xml:space="preserve">bị tước quyền sử dụng Giấy phép lái xe có thời hạn hoặc không thời </w:t>
      </w:r>
      <w:r w:rsidR="000A01FE">
        <w:rPr>
          <w:sz w:val="28"/>
          <w:szCs w:val="28"/>
          <w:lang w:val="es-ES"/>
        </w:rPr>
        <w:t xml:space="preserve">hạn thì </w:t>
      </w:r>
      <w:r w:rsidR="00986D22">
        <w:rPr>
          <w:sz w:val="28"/>
          <w:szCs w:val="28"/>
          <w:lang w:val="es-ES"/>
        </w:rPr>
        <w:t xml:space="preserve">được coi là </w:t>
      </w:r>
      <w:r w:rsidRPr="00AB6576">
        <w:rPr>
          <w:sz w:val="28"/>
          <w:szCs w:val="28"/>
          <w:lang w:val="es-ES"/>
        </w:rPr>
        <w:t>kh</w:t>
      </w:r>
      <w:r w:rsidR="00FA1F9A">
        <w:rPr>
          <w:sz w:val="28"/>
          <w:szCs w:val="28"/>
          <w:lang w:val="es-ES"/>
        </w:rPr>
        <w:t>ông có Giấy phép lái xe</w:t>
      </w:r>
      <w:r w:rsidRPr="00ED475A">
        <w:rPr>
          <w:sz w:val="28"/>
          <w:szCs w:val="28"/>
          <w:lang w:val="es-ES"/>
        </w:rPr>
        <w:t>”</w:t>
      </w:r>
      <w:r w:rsidR="001026E4">
        <w:rPr>
          <w:sz w:val="28"/>
          <w:szCs w:val="28"/>
          <w:lang w:val="es-ES"/>
        </w:rPr>
        <w:t>.</w:t>
      </w:r>
    </w:p>
    <w:p w:rsidR="003A4252" w:rsidRPr="00E62C34" w:rsidRDefault="00A64BBD" w:rsidP="00E11ADD">
      <w:pPr>
        <w:spacing w:before="240" w:after="120" w:line="228" w:lineRule="auto"/>
        <w:ind w:firstLine="709"/>
        <w:jc w:val="both"/>
        <w:rPr>
          <w:sz w:val="28"/>
          <w:szCs w:val="28"/>
          <w:lang w:val="sv-SE"/>
        </w:rPr>
      </w:pPr>
      <w:r>
        <w:rPr>
          <w:sz w:val="28"/>
          <w:szCs w:val="28"/>
          <w:lang w:val="sv-SE"/>
        </w:rPr>
        <w:t>7</w:t>
      </w:r>
      <w:r w:rsidR="00A311F3">
        <w:rPr>
          <w:sz w:val="28"/>
          <w:szCs w:val="28"/>
          <w:lang w:val="sv-SE"/>
        </w:rPr>
        <w:t xml:space="preserve">. </w:t>
      </w:r>
      <w:r w:rsidR="00F71303">
        <w:rPr>
          <w:sz w:val="28"/>
          <w:szCs w:val="28"/>
          <w:lang w:val="sv-SE"/>
        </w:rPr>
        <w:t>Sửa đổi, bổ sung Đ</w:t>
      </w:r>
      <w:r w:rsidR="00FA1F9A">
        <w:rPr>
          <w:sz w:val="28"/>
          <w:szCs w:val="28"/>
          <w:lang w:val="sv-SE"/>
        </w:rPr>
        <w:t>iểm 8.3 và</w:t>
      </w:r>
      <w:r w:rsidR="003A4252" w:rsidRPr="00E62C34">
        <w:rPr>
          <w:sz w:val="28"/>
          <w:szCs w:val="28"/>
          <w:lang w:val="sv-SE"/>
        </w:rPr>
        <w:t xml:space="preserve"> 8.4</w:t>
      </w:r>
      <w:r w:rsidR="00FA1F9A">
        <w:rPr>
          <w:sz w:val="28"/>
          <w:szCs w:val="28"/>
          <w:lang w:val="sv-SE"/>
        </w:rPr>
        <w:t>, M</w:t>
      </w:r>
      <w:r w:rsidR="003A4252" w:rsidRPr="00E62C34">
        <w:rPr>
          <w:sz w:val="28"/>
          <w:szCs w:val="28"/>
          <w:lang w:val="sv-SE"/>
        </w:rPr>
        <w:t>ục II</w:t>
      </w:r>
      <w:r w:rsidR="003A4252">
        <w:rPr>
          <w:sz w:val="28"/>
          <w:szCs w:val="28"/>
          <w:lang w:val="sv-SE"/>
        </w:rPr>
        <w:t xml:space="preserve"> </w:t>
      </w:r>
      <w:r w:rsidR="003A4252" w:rsidRPr="00E62C34">
        <w:rPr>
          <w:sz w:val="28"/>
          <w:szCs w:val="28"/>
          <w:lang w:val="sv-SE"/>
        </w:rPr>
        <w:t>như sau:</w:t>
      </w:r>
    </w:p>
    <w:p w:rsidR="003A4252" w:rsidRPr="00144598" w:rsidRDefault="003A4252" w:rsidP="00E11ADD">
      <w:pPr>
        <w:spacing w:before="160" w:after="160" w:line="228" w:lineRule="auto"/>
        <w:ind w:firstLine="709"/>
        <w:jc w:val="both"/>
        <w:rPr>
          <w:sz w:val="28"/>
          <w:szCs w:val="28"/>
          <w:lang w:val="fr-FR"/>
        </w:rPr>
      </w:pPr>
      <w:r w:rsidRPr="00144598">
        <w:rPr>
          <w:sz w:val="28"/>
          <w:szCs w:val="28"/>
          <w:lang w:val="fr-FR"/>
        </w:rPr>
        <w:t>“8.3. Mức bồi thường bảo hiểm:</w:t>
      </w:r>
    </w:p>
    <w:p w:rsidR="003A4252" w:rsidRPr="00222DC7" w:rsidRDefault="003A4252" w:rsidP="00E11ADD">
      <w:pPr>
        <w:spacing w:before="120" w:after="120" w:line="228" w:lineRule="auto"/>
        <w:ind w:firstLine="709"/>
        <w:jc w:val="both"/>
        <w:rPr>
          <w:sz w:val="28"/>
          <w:szCs w:val="28"/>
          <w:lang w:val="fr-FR"/>
        </w:rPr>
      </w:pPr>
      <w:r w:rsidRPr="00821249">
        <w:rPr>
          <w:sz w:val="28"/>
          <w:szCs w:val="28"/>
          <w:lang w:val="fr-FR"/>
        </w:rPr>
        <w:t xml:space="preserve">a) Mức bồi thường cụ thể cho từng loại thương tật, thiệt hại về người được xác định theo Bảng quy định trả tiền bồi thường thiệt hại về người theo quy định tại </w:t>
      </w:r>
      <w:r w:rsidRPr="00222DC7">
        <w:rPr>
          <w:sz w:val="28"/>
          <w:szCs w:val="28"/>
          <w:lang w:val="fr-FR"/>
        </w:rPr>
        <w:t>Phụ lục 2</w:t>
      </w:r>
      <w:r w:rsidRPr="00821249">
        <w:rPr>
          <w:sz w:val="28"/>
          <w:szCs w:val="28"/>
          <w:lang w:val="fr-FR"/>
        </w:rPr>
        <w:t xml:space="preserve"> ban hành kèm theo Thông tư này</w:t>
      </w:r>
      <w:r w:rsidRPr="00222DC7">
        <w:rPr>
          <w:sz w:val="28"/>
          <w:szCs w:val="28"/>
          <w:lang w:val="fr-FR"/>
        </w:rPr>
        <w:t xml:space="preserve"> </w:t>
      </w:r>
      <w:r w:rsidRPr="00346ACB">
        <w:rPr>
          <w:sz w:val="28"/>
          <w:szCs w:val="28"/>
          <w:lang w:val="fr-FR"/>
        </w:rPr>
        <w:t>hoặc theo thoả thuận (nếu có)</w:t>
      </w:r>
      <w:r w:rsidR="00F71303" w:rsidRPr="00346ACB">
        <w:rPr>
          <w:sz w:val="28"/>
          <w:szCs w:val="28"/>
          <w:lang w:val="fr-FR"/>
        </w:rPr>
        <w:t xml:space="preserve"> giữa chủ xe</w:t>
      </w:r>
      <w:r w:rsidR="005A55B5">
        <w:rPr>
          <w:sz w:val="28"/>
          <w:szCs w:val="28"/>
          <w:lang w:val="fr-FR"/>
        </w:rPr>
        <w:t xml:space="preserve"> cơ giới</w:t>
      </w:r>
      <w:r w:rsidR="00F71303" w:rsidRPr="00346ACB">
        <w:rPr>
          <w:sz w:val="28"/>
          <w:szCs w:val="28"/>
          <w:lang w:val="fr-FR"/>
        </w:rPr>
        <w:t xml:space="preserve"> và người bị thiệt hại hoặc đại diện </w:t>
      </w:r>
      <w:r w:rsidR="005A55B5">
        <w:rPr>
          <w:sz w:val="28"/>
          <w:szCs w:val="28"/>
          <w:lang w:val="fr-FR"/>
        </w:rPr>
        <w:t xml:space="preserve">hợp pháp của </w:t>
      </w:r>
      <w:r w:rsidR="00F71303" w:rsidRPr="00346ACB">
        <w:rPr>
          <w:sz w:val="28"/>
          <w:szCs w:val="28"/>
          <w:lang w:val="fr-FR"/>
        </w:rPr>
        <w:t xml:space="preserve">người bị thiệt hại (trong trường hợp người bị thiệt hại </w:t>
      </w:r>
      <w:r w:rsidR="005A55B5">
        <w:rPr>
          <w:sz w:val="28"/>
          <w:szCs w:val="28"/>
          <w:lang w:val="fr-FR"/>
        </w:rPr>
        <w:t xml:space="preserve">đã </w:t>
      </w:r>
      <w:r w:rsidR="00F71303" w:rsidRPr="00346ACB">
        <w:rPr>
          <w:sz w:val="28"/>
          <w:szCs w:val="28"/>
          <w:lang w:val="fr-FR"/>
        </w:rPr>
        <w:t>chết) nhưng không v</w:t>
      </w:r>
      <w:r w:rsidR="00EB3638">
        <w:rPr>
          <w:sz w:val="28"/>
          <w:szCs w:val="28"/>
          <w:lang w:val="fr-FR"/>
        </w:rPr>
        <w:t xml:space="preserve">ượt quá </w:t>
      </w:r>
      <w:r w:rsidR="00EB3638" w:rsidRPr="00A30087">
        <w:rPr>
          <w:sz w:val="28"/>
          <w:szCs w:val="28"/>
          <w:lang w:val="fr-FR"/>
        </w:rPr>
        <w:t xml:space="preserve">mức bồi thường </w:t>
      </w:r>
      <w:r w:rsidR="0059625C" w:rsidRPr="00A30087">
        <w:rPr>
          <w:sz w:val="28"/>
          <w:szCs w:val="28"/>
          <w:lang w:val="fr-FR"/>
        </w:rPr>
        <w:t xml:space="preserve">quy định </w:t>
      </w:r>
      <w:r w:rsidR="00EB3638" w:rsidRPr="00A30087">
        <w:rPr>
          <w:sz w:val="28"/>
          <w:szCs w:val="28"/>
          <w:lang w:val="fr-FR"/>
        </w:rPr>
        <w:t>tại Phụ lục 2 ban hành kèm theo Thông tư này.</w:t>
      </w:r>
      <w:r w:rsidR="00EB3638">
        <w:rPr>
          <w:sz w:val="28"/>
          <w:szCs w:val="28"/>
          <w:lang w:val="fr-FR"/>
        </w:rPr>
        <w:t xml:space="preserve"> </w:t>
      </w:r>
      <w:r w:rsidRPr="00222DC7">
        <w:rPr>
          <w:sz w:val="28"/>
          <w:szCs w:val="28"/>
          <w:lang w:val="fr-FR"/>
        </w:rPr>
        <w:t xml:space="preserve">Trường hợp có quyết định của toà án thì căn cứ vào quyết định của toà án nhưng không vượt quá mức </w:t>
      </w:r>
      <w:r w:rsidR="00690CF3">
        <w:rPr>
          <w:sz w:val="28"/>
          <w:szCs w:val="28"/>
          <w:lang w:val="fr-FR"/>
        </w:rPr>
        <w:t xml:space="preserve">bồi thường </w:t>
      </w:r>
      <w:r w:rsidR="007B44D5">
        <w:rPr>
          <w:sz w:val="28"/>
          <w:szCs w:val="28"/>
          <w:lang w:val="fr-FR"/>
        </w:rPr>
        <w:t>quy định tại Phụ lục 2 ban hành kèm theo Thông tư này</w:t>
      </w:r>
      <w:r w:rsidRPr="00222DC7">
        <w:rPr>
          <w:sz w:val="28"/>
          <w:szCs w:val="28"/>
          <w:lang w:val="fr-FR"/>
        </w:rPr>
        <w:t>.</w:t>
      </w:r>
    </w:p>
    <w:p w:rsidR="003A4252" w:rsidRPr="00FB0DA8" w:rsidRDefault="003A4252" w:rsidP="00E11ADD">
      <w:pPr>
        <w:spacing w:before="120" w:after="120" w:line="228" w:lineRule="auto"/>
        <w:ind w:firstLine="709"/>
        <w:jc w:val="both"/>
        <w:rPr>
          <w:sz w:val="28"/>
          <w:szCs w:val="28"/>
          <w:lang w:val="fr-FR"/>
        </w:rPr>
      </w:pPr>
      <w:r w:rsidRPr="00FB0DA8">
        <w:rPr>
          <w:sz w:val="28"/>
          <w:szCs w:val="28"/>
          <w:lang w:val="fr-FR"/>
        </w:rPr>
        <w:t>Trường hợp nhiều xe cơ giới gây tai nạn dẫn đến các thiệt hại về người, mức bồi thường được xác định theo mức độ lỗi của chủ xe cơ giới nhưng tổng mức bồi thường không vượt quá mức trách nhiệm bảo hiểm.</w:t>
      </w:r>
    </w:p>
    <w:p w:rsidR="003A4252" w:rsidRPr="00EB70DB" w:rsidRDefault="003A4252" w:rsidP="00E11ADD">
      <w:pPr>
        <w:spacing w:before="120" w:after="120" w:line="228" w:lineRule="auto"/>
        <w:ind w:firstLine="709"/>
        <w:jc w:val="both"/>
        <w:rPr>
          <w:sz w:val="28"/>
          <w:szCs w:val="28"/>
          <w:lang w:val="fr-FR"/>
        </w:rPr>
      </w:pPr>
      <w:r w:rsidRPr="00EB70DB">
        <w:rPr>
          <w:sz w:val="28"/>
          <w:szCs w:val="28"/>
          <w:lang w:val="fr-FR"/>
        </w:rPr>
        <w:t xml:space="preserve">Đối với vụ tai nạn </w:t>
      </w:r>
      <w:r w:rsidR="0021285A" w:rsidRPr="00EB70DB">
        <w:rPr>
          <w:sz w:val="28"/>
          <w:szCs w:val="28"/>
          <w:lang w:val="fr-FR"/>
        </w:rPr>
        <w:t xml:space="preserve">được cơ quan có thẩm quyền </w:t>
      </w:r>
      <w:r w:rsidRPr="00EB70DB">
        <w:rPr>
          <w:sz w:val="28"/>
          <w:szCs w:val="28"/>
          <w:lang w:val="fr-FR"/>
        </w:rPr>
        <w:t xml:space="preserve">xác định </w:t>
      </w:r>
      <w:r w:rsidR="00EB70DB">
        <w:rPr>
          <w:sz w:val="28"/>
          <w:szCs w:val="28"/>
          <w:lang w:val="fr-FR"/>
        </w:rPr>
        <w:t xml:space="preserve">nguyên nhân </w:t>
      </w:r>
      <w:r w:rsidR="00EB70DB" w:rsidRPr="00EB70DB">
        <w:rPr>
          <w:sz w:val="28"/>
          <w:szCs w:val="28"/>
          <w:lang w:val="fr-FR"/>
        </w:rPr>
        <w:t xml:space="preserve">do lỗi </w:t>
      </w:r>
      <w:r w:rsidR="00EE6DE3">
        <w:rPr>
          <w:sz w:val="28"/>
          <w:szCs w:val="28"/>
          <w:lang w:val="fr-FR"/>
        </w:rPr>
        <w:t xml:space="preserve">hoàn toàn </w:t>
      </w:r>
      <w:r w:rsidR="00EB70DB" w:rsidRPr="00EB70DB">
        <w:rPr>
          <w:sz w:val="28"/>
          <w:szCs w:val="28"/>
          <w:lang w:val="fr-FR"/>
        </w:rPr>
        <w:t xml:space="preserve">của người bị thiệt hại thì </w:t>
      </w:r>
      <w:r w:rsidRPr="00EB70DB">
        <w:rPr>
          <w:sz w:val="28"/>
          <w:szCs w:val="28"/>
          <w:lang w:val="fr-FR"/>
        </w:rPr>
        <w:t xml:space="preserve">mức bồi </w:t>
      </w:r>
      <w:r w:rsidR="00EB70DB" w:rsidRPr="00EB70DB">
        <w:rPr>
          <w:sz w:val="28"/>
          <w:szCs w:val="28"/>
          <w:lang w:val="fr-FR"/>
        </w:rPr>
        <w:t>thường thiệt hại về người bằng 5</w:t>
      </w:r>
      <w:r w:rsidRPr="00EB70DB">
        <w:rPr>
          <w:sz w:val="28"/>
          <w:szCs w:val="28"/>
          <w:lang w:val="fr-FR"/>
        </w:rPr>
        <w:t>0% mức bồi thường quy định tại Phụ lục 2 ban hành kèm theo Thông tư này.</w:t>
      </w:r>
    </w:p>
    <w:p w:rsidR="003A4252" w:rsidRPr="00821249" w:rsidRDefault="003A4252" w:rsidP="00E11ADD">
      <w:pPr>
        <w:spacing w:before="160" w:after="120" w:line="228" w:lineRule="auto"/>
        <w:ind w:firstLine="709"/>
        <w:jc w:val="both"/>
        <w:rPr>
          <w:sz w:val="28"/>
          <w:szCs w:val="28"/>
          <w:lang w:val="fr-FR"/>
        </w:rPr>
      </w:pPr>
      <w:r w:rsidRPr="00821249">
        <w:rPr>
          <w:sz w:val="28"/>
          <w:szCs w:val="28"/>
          <w:lang w:val="fr-FR"/>
        </w:rPr>
        <w:t xml:space="preserve">b) Mức bồi thường cụ thể đối với thiệt hại về tài sản/1 vụ tai nạn được xác định theo thiệt hại thực tế và theo mức độ lỗi </w:t>
      </w:r>
      <w:r w:rsidR="00690CF3">
        <w:rPr>
          <w:sz w:val="28"/>
          <w:szCs w:val="28"/>
          <w:lang w:val="fr-FR"/>
        </w:rPr>
        <w:t>của chủ xe cơ giới</w:t>
      </w:r>
      <w:r w:rsidR="000A01FE">
        <w:rPr>
          <w:sz w:val="28"/>
          <w:szCs w:val="28"/>
          <w:lang w:val="fr-FR"/>
        </w:rPr>
        <w:t xml:space="preserve"> nhưng không vượt quá mức trách nhiệm bảo hiểm</w:t>
      </w:r>
      <w:r w:rsidRPr="00821249">
        <w:rPr>
          <w:sz w:val="28"/>
          <w:szCs w:val="28"/>
          <w:lang w:val="fr-FR"/>
        </w:rPr>
        <w:t>.</w:t>
      </w:r>
    </w:p>
    <w:p w:rsidR="002C3FA4" w:rsidRDefault="003A4252" w:rsidP="00E11ADD">
      <w:pPr>
        <w:spacing w:before="160" w:after="160" w:line="228" w:lineRule="auto"/>
        <w:ind w:firstLine="709"/>
        <w:jc w:val="both"/>
        <w:rPr>
          <w:sz w:val="28"/>
          <w:szCs w:val="28"/>
          <w:lang w:val="fr-FR"/>
        </w:rPr>
      </w:pPr>
      <w:r w:rsidRPr="00821249">
        <w:rPr>
          <w:sz w:val="28"/>
          <w:szCs w:val="28"/>
          <w:lang w:val="fr-FR"/>
        </w:rPr>
        <w:t xml:space="preserve">8.4. Doanh nghiệp bảo hiểm không có trách nhiệm bồi thường phần vượt quá mức trách nhiệm bảo hiểm theo quy định tại </w:t>
      </w:r>
      <w:r w:rsidRPr="00C16353">
        <w:rPr>
          <w:sz w:val="28"/>
          <w:szCs w:val="28"/>
          <w:lang w:val="fr-FR"/>
        </w:rPr>
        <w:t>Phụ lục 2</w:t>
      </w:r>
      <w:r w:rsidRPr="00821249">
        <w:rPr>
          <w:sz w:val="28"/>
          <w:szCs w:val="28"/>
          <w:lang w:val="fr-FR"/>
        </w:rPr>
        <w:t xml:space="preserve"> </w:t>
      </w:r>
      <w:r w:rsidR="007B44D5">
        <w:rPr>
          <w:sz w:val="28"/>
          <w:szCs w:val="28"/>
          <w:lang w:val="fr-FR"/>
        </w:rPr>
        <w:t>ban hành kèm theo Thông tư này”</w:t>
      </w:r>
      <w:r w:rsidR="0038579B">
        <w:rPr>
          <w:sz w:val="28"/>
          <w:szCs w:val="28"/>
          <w:lang w:val="fr-FR"/>
        </w:rPr>
        <w:t>.</w:t>
      </w:r>
    </w:p>
    <w:p w:rsidR="002A6916" w:rsidRPr="00971DD3" w:rsidRDefault="000A01FE" w:rsidP="00E11ADD">
      <w:pPr>
        <w:spacing w:before="120" w:after="120" w:line="228" w:lineRule="auto"/>
        <w:ind w:firstLine="709"/>
        <w:jc w:val="both"/>
        <w:rPr>
          <w:sz w:val="28"/>
          <w:szCs w:val="28"/>
          <w:lang w:val="es-ES"/>
        </w:rPr>
      </w:pPr>
      <w:r>
        <w:rPr>
          <w:sz w:val="28"/>
          <w:szCs w:val="28"/>
          <w:lang w:val="es-ES"/>
        </w:rPr>
        <w:t>8</w:t>
      </w:r>
      <w:r w:rsidR="002A6916" w:rsidRPr="00971DD3">
        <w:rPr>
          <w:sz w:val="28"/>
          <w:szCs w:val="28"/>
          <w:lang w:val="es-ES"/>
        </w:rPr>
        <w:t xml:space="preserve">. </w:t>
      </w:r>
      <w:r w:rsidR="00971DD3">
        <w:rPr>
          <w:sz w:val="28"/>
          <w:szCs w:val="28"/>
          <w:lang w:val="es-ES"/>
        </w:rPr>
        <w:t xml:space="preserve">Ban hành </w:t>
      </w:r>
      <w:r w:rsidR="00346ACB" w:rsidRPr="00971DD3">
        <w:rPr>
          <w:sz w:val="28"/>
          <w:szCs w:val="28"/>
          <w:lang w:val="fr-FR"/>
        </w:rPr>
        <w:t xml:space="preserve">Phụ lục 1 </w:t>
      </w:r>
      <w:r w:rsidR="00971DD3">
        <w:rPr>
          <w:sz w:val="28"/>
          <w:szCs w:val="28"/>
          <w:lang w:val="fr-FR"/>
        </w:rPr>
        <w:t xml:space="preserve">về Biểu phí bảo hiểm </w:t>
      </w:r>
      <w:r w:rsidR="002D0201">
        <w:rPr>
          <w:sz w:val="28"/>
          <w:szCs w:val="28"/>
          <w:lang w:val="fr-FR"/>
        </w:rPr>
        <w:t>b</w:t>
      </w:r>
      <w:r w:rsidR="002D0201" w:rsidRPr="002D0201">
        <w:rPr>
          <w:sz w:val="28"/>
          <w:szCs w:val="28"/>
          <w:lang w:val="fr-FR"/>
        </w:rPr>
        <w:t>ắt</w:t>
      </w:r>
      <w:r w:rsidR="002D0201">
        <w:rPr>
          <w:sz w:val="28"/>
          <w:szCs w:val="28"/>
          <w:lang w:val="fr-FR"/>
        </w:rPr>
        <w:t xml:space="preserve"> bu</w:t>
      </w:r>
      <w:r w:rsidR="002D0201" w:rsidRPr="002D0201">
        <w:rPr>
          <w:sz w:val="28"/>
          <w:szCs w:val="28"/>
          <w:lang w:val="fr-FR"/>
        </w:rPr>
        <w:t>ộ</w:t>
      </w:r>
      <w:r w:rsidR="002D0201">
        <w:rPr>
          <w:sz w:val="28"/>
          <w:szCs w:val="28"/>
          <w:lang w:val="fr-FR"/>
        </w:rPr>
        <w:t xml:space="preserve">c </w:t>
      </w:r>
      <w:r w:rsidR="00971DD3">
        <w:rPr>
          <w:sz w:val="28"/>
          <w:szCs w:val="28"/>
          <w:lang w:val="fr-FR"/>
        </w:rPr>
        <w:t xml:space="preserve">trách nhiệm dân sự của chủ xe cơ giới </w:t>
      </w:r>
      <w:r w:rsidR="007B44D5">
        <w:rPr>
          <w:sz w:val="28"/>
          <w:szCs w:val="28"/>
          <w:lang w:val="fr-FR"/>
        </w:rPr>
        <w:t>kèm theo Thông tư này</w:t>
      </w:r>
      <w:r w:rsidR="00971DD3">
        <w:rPr>
          <w:sz w:val="28"/>
          <w:szCs w:val="28"/>
          <w:lang w:val="fr-FR"/>
        </w:rPr>
        <w:t xml:space="preserve"> </w:t>
      </w:r>
      <w:r w:rsidR="00346ACB" w:rsidRPr="00971DD3">
        <w:rPr>
          <w:sz w:val="28"/>
          <w:szCs w:val="28"/>
          <w:lang w:val="fr-FR"/>
        </w:rPr>
        <w:t>thay thế Phụ lục 5 ban hành kèm theo Thông tư 126/2008/TT-BTC.</w:t>
      </w:r>
    </w:p>
    <w:p w:rsidR="002A6916" w:rsidRPr="00971DD3" w:rsidRDefault="000A01FE" w:rsidP="00E11ADD">
      <w:pPr>
        <w:spacing w:before="120" w:after="120" w:line="228" w:lineRule="auto"/>
        <w:ind w:firstLine="709"/>
        <w:jc w:val="both"/>
        <w:rPr>
          <w:sz w:val="28"/>
          <w:szCs w:val="28"/>
          <w:lang w:val="es-ES"/>
        </w:rPr>
      </w:pPr>
      <w:r>
        <w:rPr>
          <w:sz w:val="28"/>
          <w:szCs w:val="28"/>
          <w:lang w:val="es-ES"/>
        </w:rPr>
        <w:lastRenderedPageBreak/>
        <w:t>9</w:t>
      </w:r>
      <w:r w:rsidR="002A6916" w:rsidRPr="00971DD3">
        <w:rPr>
          <w:sz w:val="28"/>
          <w:szCs w:val="28"/>
          <w:lang w:val="es-ES"/>
        </w:rPr>
        <w:t xml:space="preserve">. </w:t>
      </w:r>
      <w:r w:rsidR="00971DD3">
        <w:rPr>
          <w:sz w:val="28"/>
          <w:szCs w:val="28"/>
          <w:lang w:val="es-ES"/>
        </w:rPr>
        <w:t xml:space="preserve">Ban hành </w:t>
      </w:r>
      <w:r w:rsidR="00346ACB" w:rsidRPr="00971DD3">
        <w:rPr>
          <w:sz w:val="28"/>
          <w:szCs w:val="28"/>
          <w:lang w:val="fr-FR"/>
        </w:rPr>
        <w:t xml:space="preserve">Phụ lục 2 </w:t>
      </w:r>
      <w:r w:rsidR="00971DD3">
        <w:rPr>
          <w:sz w:val="28"/>
          <w:szCs w:val="28"/>
          <w:lang w:val="fr-FR"/>
        </w:rPr>
        <w:t xml:space="preserve">về Bảng quy định trả tiền bồi thường thiệt hại về người </w:t>
      </w:r>
      <w:r w:rsidR="007B44D5">
        <w:rPr>
          <w:sz w:val="28"/>
          <w:szCs w:val="28"/>
          <w:lang w:val="fr-FR"/>
        </w:rPr>
        <w:t xml:space="preserve">kèm theo Thông tư này </w:t>
      </w:r>
      <w:r w:rsidR="00346ACB" w:rsidRPr="00971DD3">
        <w:rPr>
          <w:sz w:val="28"/>
          <w:szCs w:val="28"/>
          <w:lang w:val="fr-FR"/>
        </w:rPr>
        <w:t>thay thế Phụ lục 6 ban hành kèm theo Thông tư 126/2008/TT-BTC.</w:t>
      </w:r>
    </w:p>
    <w:p w:rsidR="00530895" w:rsidRPr="00D077E9" w:rsidRDefault="000A01FE" w:rsidP="00E11ADD">
      <w:pPr>
        <w:spacing w:before="120" w:after="120" w:line="228" w:lineRule="auto"/>
        <w:ind w:firstLine="720"/>
        <w:jc w:val="both"/>
        <w:rPr>
          <w:sz w:val="28"/>
          <w:szCs w:val="28"/>
          <w:lang w:val="fr-FR"/>
        </w:rPr>
      </w:pPr>
      <w:r>
        <w:rPr>
          <w:sz w:val="28"/>
          <w:szCs w:val="28"/>
          <w:lang w:val="es-ES"/>
        </w:rPr>
        <w:t>10</w:t>
      </w:r>
      <w:r w:rsidR="002A6916" w:rsidRPr="00D077E9">
        <w:rPr>
          <w:sz w:val="28"/>
          <w:szCs w:val="28"/>
          <w:lang w:val="es-ES"/>
        </w:rPr>
        <w:t xml:space="preserve">. </w:t>
      </w:r>
      <w:r w:rsidR="00530895" w:rsidRPr="00D077E9">
        <w:rPr>
          <w:sz w:val="28"/>
          <w:szCs w:val="28"/>
          <w:lang w:val="es-ES"/>
        </w:rPr>
        <w:t xml:space="preserve">Ban hành Phụ lục 3, 4 và 5 về mẫu Giấy chứng nhận bảo hiểm bắt buộc trách nhiệm dân sự của chủ xe cơ giới </w:t>
      </w:r>
      <w:r w:rsidR="00530895" w:rsidRPr="00D077E9">
        <w:rPr>
          <w:sz w:val="28"/>
          <w:szCs w:val="28"/>
          <w:lang w:val="fr-FR"/>
        </w:rPr>
        <w:t xml:space="preserve">kèm theo Thông tư này </w:t>
      </w:r>
      <w:r w:rsidR="00744707">
        <w:rPr>
          <w:sz w:val="28"/>
          <w:szCs w:val="28"/>
          <w:lang w:val="fr-FR"/>
        </w:rPr>
        <w:t>thay th</w:t>
      </w:r>
      <w:r w:rsidR="00744707" w:rsidRPr="00744707">
        <w:rPr>
          <w:sz w:val="28"/>
          <w:szCs w:val="28"/>
          <w:lang w:val="fr-FR"/>
        </w:rPr>
        <w:t>ế</w:t>
      </w:r>
      <w:r w:rsidR="00744707">
        <w:rPr>
          <w:sz w:val="28"/>
          <w:szCs w:val="28"/>
          <w:lang w:val="fr-FR"/>
        </w:rPr>
        <w:t xml:space="preserve">  </w:t>
      </w:r>
      <w:r w:rsidR="00530895" w:rsidRPr="00D077E9">
        <w:rPr>
          <w:sz w:val="28"/>
          <w:szCs w:val="28"/>
          <w:lang w:val="fr-FR"/>
        </w:rPr>
        <w:t>Phụ lục 1, 2 và 3 ban hành kèm theo Thông tư 126/2008/TT-BTC.</w:t>
      </w:r>
    </w:p>
    <w:p w:rsidR="00EE6DE3" w:rsidRPr="00D077E9" w:rsidRDefault="00E603B2" w:rsidP="00E11ADD">
      <w:pPr>
        <w:spacing w:before="120" w:after="120" w:line="228" w:lineRule="auto"/>
        <w:ind w:firstLine="709"/>
        <w:jc w:val="both"/>
        <w:rPr>
          <w:sz w:val="28"/>
          <w:szCs w:val="28"/>
          <w:lang w:val="fr-FR"/>
        </w:rPr>
      </w:pPr>
      <w:r w:rsidRPr="00D077E9">
        <w:rPr>
          <w:sz w:val="28"/>
          <w:szCs w:val="28"/>
          <w:lang w:val="fr-FR"/>
        </w:rPr>
        <w:t>1</w:t>
      </w:r>
      <w:r w:rsidR="000A01FE">
        <w:rPr>
          <w:sz w:val="28"/>
          <w:szCs w:val="28"/>
          <w:lang w:val="fr-FR"/>
        </w:rPr>
        <w:t>1</w:t>
      </w:r>
      <w:r w:rsidR="00EE6DE3" w:rsidRPr="00D077E9">
        <w:rPr>
          <w:sz w:val="28"/>
          <w:szCs w:val="28"/>
          <w:lang w:val="fr-FR"/>
        </w:rPr>
        <w:t xml:space="preserve">. Ban hành Phụ lục 6 về Báo cáo bảo hiểm bắt buộc TNDS của chủ xe </w:t>
      </w:r>
      <w:r w:rsidR="007B44D5" w:rsidRPr="00D077E9">
        <w:rPr>
          <w:sz w:val="28"/>
          <w:szCs w:val="28"/>
          <w:lang w:val="fr-FR"/>
        </w:rPr>
        <w:t>cơ giới kèm theo Thông tư này</w:t>
      </w:r>
      <w:r w:rsidR="00EE6DE3" w:rsidRPr="00D077E9">
        <w:rPr>
          <w:sz w:val="28"/>
          <w:szCs w:val="28"/>
          <w:lang w:val="fr-FR"/>
        </w:rPr>
        <w:t xml:space="preserve"> thay thế Phụ lục 7 ban hành kèm theo Thông tư số 126/2008/TT-BTC. </w:t>
      </w:r>
    </w:p>
    <w:p w:rsidR="003A4252" w:rsidRPr="00B244F3" w:rsidRDefault="003A4252" w:rsidP="00E11ADD">
      <w:pPr>
        <w:spacing w:before="240" w:after="160" w:line="228" w:lineRule="auto"/>
        <w:ind w:firstLine="709"/>
        <w:jc w:val="both"/>
        <w:rPr>
          <w:b/>
          <w:sz w:val="28"/>
          <w:szCs w:val="28"/>
          <w:lang w:val="sv-SE"/>
        </w:rPr>
      </w:pPr>
      <w:r w:rsidRPr="00B244F3">
        <w:rPr>
          <w:b/>
          <w:sz w:val="28"/>
          <w:szCs w:val="28"/>
          <w:lang w:val="sv-SE"/>
        </w:rPr>
        <w:t>Điều 2. Sửa đổi, bổ sung khoản 3 Điều 6 Thông tư số 103/2009/TT-BTC về mức hỗ trợ, đối tượng hỗ trợ như sau:</w:t>
      </w:r>
    </w:p>
    <w:p w:rsidR="003A4252" w:rsidRPr="006172FA" w:rsidRDefault="003A4252" w:rsidP="00E11ADD">
      <w:pPr>
        <w:spacing w:before="160" w:after="160" w:line="228" w:lineRule="auto"/>
        <w:ind w:firstLine="709"/>
        <w:jc w:val="both"/>
        <w:rPr>
          <w:sz w:val="28"/>
          <w:szCs w:val="28"/>
          <w:lang w:val="es-ES"/>
        </w:rPr>
      </w:pPr>
      <w:r w:rsidRPr="006172FA">
        <w:rPr>
          <w:sz w:val="28"/>
          <w:szCs w:val="28"/>
          <w:lang w:val="es-ES"/>
        </w:rPr>
        <w:t>“3. Chi hỗ trợ nhân đạo: Mức chi không vượt quá 15% tổng số tiền đóng vào Quỹ hàng năm, cụ thể:</w:t>
      </w:r>
    </w:p>
    <w:p w:rsidR="003A4252" w:rsidRPr="006172FA" w:rsidRDefault="001E117A" w:rsidP="00E11ADD">
      <w:pPr>
        <w:spacing w:after="160" w:line="228" w:lineRule="auto"/>
        <w:ind w:firstLine="709"/>
        <w:jc w:val="both"/>
        <w:rPr>
          <w:sz w:val="28"/>
          <w:szCs w:val="28"/>
          <w:lang w:val="fr-FR"/>
        </w:rPr>
      </w:pPr>
      <w:r w:rsidRPr="006172FA">
        <w:rPr>
          <w:sz w:val="28"/>
          <w:szCs w:val="28"/>
          <w:lang w:val="fr-FR"/>
        </w:rPr>
        <w:t>Hỗ trợ chi phí mai táng đối với thiệt hại về tính mạng và hỗ trợ trường hợp bị thương tật toàn bộ vĩnh viễn của người thứ ba và hành khách chuyên chở trên xe do xe cơ giới gây ra trong trường hợp không xác định được xe cơ giới gây tai nạn, xe không tham gia bảo hiểm, loại trừ bảo hiểm quy định tại Điều 13 Nghị định số 103/2008/NĐ-C</w:t>
      </w:r>
      <w:r w:rsidR="00530895">
        <w:rPr>
          <w:sz w:val="28"/>
          <w:szCs w:val="28"/>
          <w:lang w:val="fr-FR"/>
        </w:rPr>
        <w:t xml:space="preserve">P. Mức hỗ trợ chi phí mai táng, </w:t>
      </w:r>
      <w:r w:rsidR="003A4252" w:rsidRPr="006172FA">
        <w:rPr>
          <w:sz w:val="28"/>
          <w:szCs w:val="28"/>
          <w:lang w:val="fr-FR"/>
        </w:rPr>
        <w:t xml:space="preserve">hỗ trợ </w:t>
      </w:r>
      <w:r>
        <w:rPr>
          <w:sz w:val="28"/>
          <w:szCs w:val="28"/>
          <w:lang w:val="fr-FR"/>
        </w:rPr>
        <w:t>t</w:t>
      </w:r>
      <w:r w:rsidR="00A64BBD">
        <w:rPr>
          <w:sz w:val="28"/>
          <w:szCs w:val="28"/>
          <w:lang w:val="fr-FR"/>
        </w:rPr>
        <w:t>hương tật toàn bộ vĩnh viễn là 20</w:t>
      </w:r>
      <w:r>
        <w:rPr>
          <w:sz w:val="28"/>
          <w:szCs w:val="28"/>
          <w:lang w:val="fr-FR"/>
        </w:rPr>
        <w:t xml:space="preserve"> </w:t>
      </w:r>
      <w:r w:rsidR="00B36101" w:rsidRPr="00A30087">
        <w:rPr>
          <w:sz w:val="28"/>
          <w:szCs w:val="28"/>
          <w:lang w:val="fr-FR"/>
        </w:rPr>
        <w:t>triệu đồng/người/vụ</w:t>
      </w:r>
      <w:r w:rsidR="00346ACB" w:rsidRPr="00A30087">
        <w:rPr>
          <w:sz w:val="28"/>
          <w:szCs w:val="28"/>
          <w:lang w:val="es-ES"/>
        </w:rPr>
        <w:t>”</w:t>
      </w:r>
      <w:r w:rsidR="00E27CA2">
        <w:rPr>
          <w:sz w:val="28"/>
          <w:szCs w:val="28"/>
          <w:lang w:val="es-ES"/>
        </w:rPr>
        <w:t>.</w:t>
      </w:r>
    </w:p>
    <w:p w:rsidR="003A4252" w:rsidRPr="00EE458B" w:rsidRDefault="003A4252" w:rsidP="00E11ADD">
      <w:pPr>
        <w:spacing w:before="240" w:after="160" w:line="228" w:lineRule="auto"/>
        <w:ind w:firstLine="709"/>
        <w:jc w:val="both"/>
        <w:rPr>
          <w:b/>
          <w:sz w:val="28"/>
          <w:szCs w:val="28"/>
          <w:lang w:val="es-ES"/>
        </w:rPr>
      </w:pPr>
      <w:r w:rsidRPr="00EE458B">
        <w:rPr>
          <w:b/>
          <w:sz w:val="28"/>
          <w:szCs w:val="28"/>
          <w:lang w:val="es-ES"/>
        </w:rPr>
        <w:t xml:space="preserve">Điều </w:t>
      </w:r>
      <w:r w:rsidR="00056F06">
        <w:rPr>
          <w:b/>
          <w:sz w:val="28"/>
          <w:szCs w:val="28"/>
          <w:lang w:val="es-ES"/>
        </w:rPr>
        <w:t>3</w:t>
      </w:r>
      <w:r w:rsidRPr="00EE458B">
        <w:rPr>
          <w:b/>
          <w:sz w:val="28"/>
          <w:szCs w:val="28"/>
          <w:lang w:val="es-ES"/>
        </w:rPr>
        <w:t>. Tổ chức thực hiện</w:t>
      </w:r>
    </w:p>
    <w:p w:rsidR="003A4252" w:rsidRPr="00EE458B" w:rsidRDefault="003A4252" w:rsidP="00E11ADD">
      <w:pPr>
        <w:spacing w:before="160" w:after="160" w:line="228" w:lineRule="auto"/>
        <w:ind w:firstLine="709"/>
        <w:jc w:val="both"/>
        <w:rPr>
          <w:sz w:val="28"/>
          <w:szCs w:val="28"/>
          <w:lang w:val="fr-FR"/>
        </w:rPr>
      </w:pPr>
      <w:r w:rsidRPr="00EE458B">
        <w:rPr>
          <w:sz w:val="28"/>
          <w:szCs w:val="28"/>
          <w:lang w:val="fr-FR"/>
        </w:rPr>
        <w:t>1. Thông tư này có hiệu lực thi hành kể từ ngày</w:t>
      </w:r>
      <w:r w:rsidR="00546F32">
        <w:rPr>
          <w:sz w:val="28"/>
          <w:szCs w:val="28"/>
          <w:lang w:val="fr-FR"/>
        </w:rPr>
        <w:t xml:space="preserve"> 01 </w:t>
      </w:r>
      <w:r>
        <w:rPr>
          <w:sz w:val="28"/>
          <w:szCs w:val="28"/>
          <w:lang w:val="fr-FR"/>
        </w:rPr>
        <w:t>th</w:t>
      </w:r>
      <w:r w:rsidR="00546F32">
        <w:rPr>
          <w:sz w:val="28"/>
          <w:szCs w:val="28"/>
          <w:lang w:val="fr-FR"/>
        </w:rPr>
        <w:t xml:space="preserve">áng 11 </w:t>
      </w:r>
      <w:r>
        <w:rPr>
          <w:sz w:val="28"/>
          <w:szCs w:val="28"/>
          <w:lang w:val="fr-FR"/>
        </w:rPr>
        <w:t>n</w:t>
      </w:r>
      <w:r w:rsidRPr="001A52F4">
        <w:rPr>
          <w:sz w:val="28"/>
          <w:szCs w:val="28"/>
          <w:lang w:val="fr-FR"/>
        </w:rPr>
        <w:t>ă</w:t>
      </w:r>
      <w:r>
        <w:rPr>
          <w:sz w:val="28"/>
          <w:szCs w:val="28"/>
          <w:lang w:val="fr-FR"/>
        </w:rPr>
        <w:t>m 2012</w:t>
      </w:r>
      <w:r w:rsidRPr="00EE458B">
        <w:rPr>
          <w:sz w:val="28"/>
          <w:szCs w:val="28"/>
          <w:lang w:val="fr-FR"/>
        </w:rPr>
        <w:t>.</w:t>
      </w:r>
    </w:p>
    <w:p w:rsidR="003A4252" w:rsidRDefault="003A4252" w:rsidP="00E11ADD">
      <w:pPr>
        <w:spacing w:before="160" w:after="160" w:line="228" w:lineRule="auto"/>
        <w:ind w:firstLine="709"/>
        <w:jc w:val="both"/>
        <w:rPr>
          <w:sz w:val="28"/>
          <w:szCs w:val="28"/>
          <w:lang w:val="fr-FR"/>
        </w:rPr>
      </w:pPr>
      <w:r w:rsidRPr="00EE458B">
        <w:rPr>
          <w:sz w:val="28"/>
          <w:szCs w:val="28"/>
          <w:lang w:val="fr-FR"/>
        </w:rPr>
        <w:t>2. Trong quá trình thực hiện, nếu phát sinh vướng mắc, đề nghị phản ánh kịp thời về Bộ Tài chính để xem xét, giải quyết./.</w:t>
      </w:r>
    </w:p>
    <w:p w:rsidR="00AE0000" w:rsidRPr="00EE458B" w:rsidRDefault="00AE0000" w:rsidP="00E11ADD">
      <w:pPr>
        <w:spacing w:before="160" w:after="160" w:line="228" w:lineRule="auto"/>
        <w:ind w:firstLine="709"/>
        <w:jc w:val="both"/>
        <w:rPr>
          <w:sz w:val="28"/>
          <w:szCs w:val="28"/>
          <w:lang w:val="fr-FR"/>
        </w:rPr>
      </w:pPr>
    </w:p>
    <w:tbl>
      <w:tblPr>
        <w:tblW w:w="9164" w:type="dxa"/>
        <w:jc w:val="center"/>
        <w:tblLook w:val="01E0"/>
      </w:tblPr>
      <w:tblGrid>
        <w:gridCol w:w="5564"/>
        <w:gridCol w:w="3600"/>
      </w:tblGrid>
      <w:tr w:rsidR="003A4252" w:rsidRPr="0038579B">
        <w:trPr>
          <w:jc w:val="center"/>
        </w:trPr>
        <w:tc>
          <w:tcPr>
            <w:tcW w:w="5564" w:type="dxa"/>
          </w:tcPr>
          <w:p w:rsidR="003A4252" w:rsidRPr="002A1481" w:rsidRDefault="003A4252" w:rsidP="00972DAE">
            <w:pPr>
              <w:rPr>
                <w:b/>
                <w:i/>
                <w:sz w:val="2"/>
                <w:lang w:val="es-ES"/>
              </w:rPr>
            </w:pPr>
          </w:p>
          <w:p w:rsidR="003A4252" w:rsidRPr="002A1481" w:rsidRDefault="003A4252" w:rsidP="00972DAE">
            <w:pPr>
              <w:rPr>
                <w:b/>
                <w:lang w:val="es-ES"/>
              </w:rPr>
            </w:pPr>
            <w:r w:rsidRPr="002A1481">
              <w:rPr>
                <w:b/>
                <w:i/>
                <w:lang w:val="es-ES"/>
              </w:rPr>
              <w:t>Nơi nhận</w:t>
            </w:r>
            <w:r w:rsidRPr="002A1481">
              <w:rPr>
                <w:b/>
                <w:lang w:val="es-ES"/>
              </w:rPr>
              <w:t>:</w:t>
            </w:r>
          </w:p>
          <w:p w:rsidR="003A4252" w:rsidRPr="002A1481" w:rsidRDefault="003A4252" w:rsidP="00D164B9">
            <w:pPr>
              <w:spacing w:line="204" w:lineRule="auto"/>
              <w:rPr>
                <w:sz w:val="22"/>
                <w:szCs w:val="22"/>
                <w:lang w:val="es-ES"/>
              </w:rPr>
            </w:pPr>
            <w:r w:rsidRPr="002A1481">
              <w:rPr>
                <w:sz w:val="22"/>
                <w:szCs w:val="22"/>
                <w:lang w:val="es-ES"/>
              </w:rPr>
              <w:t>- Văn phòng TW và các ban của Đảng;</w:t>
            </w:r>
          </w:p>
          <w:p w:rsidR="003A4252" w:rsidRPr="002A1481" w:rsidRDefault="003A4252" w:rsidP="00D164B9">
            <w:pPr>
              <w:shd w:val="clear" w:color="auto" w:fill="FFFFFF"/>
              <w:spacing w:line="204" w:lineRule="auto"/>
              <w:rPr>
                <w:sz w:val="22"/>
                <w:szCs w:val="22"/>
                <w:lang w:val="es-ES"/>
              </w:rPr>
            </w:pPr>
            <w:r w:rsidRPr="002A1481">
              <w:rPr>
                <w:sz w:val="22"/>
                <w:szCs w:val="22"/>
                <w:lang w:val="es-ES"/>
              </w:rPr>
              <w:t xml:space="preserve">- Văn phòng Tổng Bí thư; </w:t>
            </w:r>
          </w:p>
          <w:p w:rsidR="003A4252" w:rsidRPr="002A1481" w:rsidRDefault="003A4252" w:rsidP="00D164B9">
            <w:pPr>
              <w:spacing w:line="204" w:lineRule="auto"/>
              <w:rPr>
                <w:sz w:val="22"/>
                <w:szCs w:val="22"/>
                <w:lang w:val="es-ES"/>
              </w:rPr>
            </w:pPr>
            <w:r w:rsidRPr="002A1481">
              <w:rPr>
                <w:sz w:val="22"/>
                <w:szCs w:val="22"/>
                <w:lang w:val="es-ES"/>
              </w:rPr>
              <w:t>- Văn phòng Quốc hội;</w:t>
            </w:r>
          </w:p>
          <w:p w:rsidR="003A4252" w:rsidRPr="002A1481" w:rsidRDefault="003A4252" w:rsidP="00D164B9">
            <w:pPr>
              <w:spacing w:line="204" w:lineRule="auto"/>
              <w:rPr>
                <w:sz w:val="22"/>
                <w:szCs w:val="22"/>
                <w:lang w:val="es-ES"/>
              </w:rPr>
            </w:pPr>
            <w:r w:rsidRPr="002A1481">
              <w:rPr>
                <w:sz w:val="22"/>
                <w:szCs w:val="22"/>
                <w:lang w:val="es-ES"/>
              </w:rPr>
              <w:t>- Văn phòng Chủ tịch nước;</w:t>
            </w:r>
          </w:p>
          <w:p w:rsidR="003A4252" w:rsidRPr="002A1481" w:rsidRDefault="003A4252" w:rsidP="00D164B9">
            <w:pPr>
              <w:spacing w:line="204" w:lineRule="auto"/>
              <w:rPr>
                <w:sz w:val="22"/>
                <w:szCs w:val="22"/>
                <w:lang w:val="es-ES"/>
              </w:rPr>
            </w:pPr>
            <w:r w:rsidRPr="002A1481">
              <w:rPr>
                <w:sz w:val="22"/>
                <w:szCs w:val="22"/>
                <w:lang w:val="es-ES"/>
              </w:rPr>
              <w:t>- Văn phòng Chính phủ;</w:t>
            </w:r>
          </w:p>
          <w:p w:rsidR="003A4252" w:rsidRPr="002A1481" w:rsidRDefault="003A4252" w:rsidP="00D164B9">
            <w:pPr>
              <w:spacing w:line="204" w:lineRule="auto"/>
              <w:rPr>
                <w:sz w:val="22"/>
                <w:szCs w:val="22"/>
                <w:lang w:val="es-ES"/>
              </w:rPr>
            </w:pPr>
            <w:r w:rsidRPr="002A1481">
              <w:rPr>
                <w:sz w:val="22"/>
                <w:szCs w:val="22"/>
                <w:lang w:val="es-ES"/>
              </w:rPr>
              <w:t>- Viện Kiểm sát nhân dân tối cao;</w:t>
            </w:r>
          </w:p>
          <w:p w:rsidR="003A4252" w:rsidRPr="002A1481" w:rsidRDefault="003A4252" w:rsidP="00D164B9">
            <w:pPr>
              <w:spacing w:line="204" w:lineRule="auto"/>
              <w:rPr>
                <w:sz w:val="22"/>
                <w:szCs w:val="22"/>
                <w:lang w:val="es-ES"/>
              </w:rPr>
            </w:pPr>
            <w:r w:rsidRPr="002A1481">
              <w:rPr>
                <w:sz w:val="22"/>
                <w:szCs w:val="22"/>
                <w:lang w:val="es-ES"/>
              </w:rPr>
              <w:t>- Toà án nhân dân tối cao;</w:t>
            </w:r>
          </w:p>
          <w:p w:rsidR="003A4252" w:rsidRPr="002A1481" w:rsidRDefault="003A4252" w:rsidP="00D164B9">
            <w:pPr>
              <w:spacing w:line="204" w:lineRule="auto"/>
              <w:rPr>
                <w:sz w:val="22"/>
                <w:szCs w:val="22"/>
                <w:lang w:val="es-ES"/>
              </w:rPr>
            </w:pPr>
            <w:r w:rsidRPr="002A1481">
              <w:rPr>
                <w:sz w:val="22"/>
                <w:szCs w:val="22"/>
                <w:lang w:val="es-ES"/>
              </w:rPr>
              <w:t xml:space="preserve">- Các Bộ, cơ quan ngang Bộ, cơ quan thuộc Chính phủ; </w:t>
            </w:r>
          </w:p>
          <w:p w:rsidR="003A4252" w:rsidRPr="002A1481" w:rsidRDefault="003A4252" w:rsidP="00D164B9">
            <w:pPr>
              <w:spacing w:line="204" w:lineRule="auto"/>
              <w:rPr>
                <w:sz w:val="22"/>
                <w:szCs w:val="22"/>
                <w:lang w:val="es-ES"/>
              </w:rPr>
            </w:pPr>
            <w:r w:rsidRPr="002A1481">
              <w:rPr>
                <w:sz w:val="22"/>
                <w:szCs w:val="22"/>
                <w:lang w:val="es-ES"/>
              </w:rPr>
              <w:t>- UBND các tỉnh, thành phố trực thuộc Trung ương;</w:t>
            </w:r>
          </w:p>
          <w:p w:rsidR="004F34AD" w:rsidRPr="002A1481" w:rsidRDefault="004F34AD" w:rsidP="00D164B9">
            <w:pPr>
              <w:spacing w:line="204" w:lineRule="auto"/>
              <w:rPr>
                <w:sz w:val="22"/>
                <w:szCs w:val="22"/>
                <w:lang w:val="es-ES"/>
              </w:rPr>
            </w:pPr>
            <w:r w:rsidRPr="002A1481">
              <w:rPr>
                <w:sz w:val="22"/>
                <w:szCs w:val="22"/>
                <w:lang w:val="es-ES"/>
              </w:rPr>
              <w:t>- Văn phòng Ban chỉ đạo TW về phòng, chống tham nhũng;</w:t>
            </w:r>
          </w:p>
          <w:p w:rsidR="003A4252" w:rsidRPr="002A1481" w:rsidRDefault="003A4252" w:rsidP="00D164B9">
            <w:pPr>
              <w:spacing w:line="204" w:lineRule="auto"/>
              <w:rPr>
                <w:sz w:val="22"/>
                <w:szCs w:val="22"/>
                <w:lang w:val="es-ES"/>
              </w:rPr>
            </w:pPr>
            <w:r w:rsidRPr="002A1481">
              <w:rPr>
                <w:sz w:val="22"/>
                <w:szCs w:val="22"/>
                <w:lang w:val="es-ES"/>
              </w:rPr>
              <w:t xml:space="preserve">- Cơ quan TW </w:t>
            </w:r>
            <w:r w:rsidR="002311BE" w:rsidRPr="002A1481">
              <w:rPr>
                <w:sz w:val="22"/>
                <w:szCs w:val="22"/>
                <w:lang w:val="es-ES"/>
              </w:rPr>
              <w:t xml:space="preserve">của </w:t>
            </w:r>
            <w:r w:rsidRPr="002A1481">
              <w:rPr>
                <w:sz w:val="22"/>
                <w:szCs w:val="22"/>
                <w:lang w:val="es-ES"/>
              </w:rPr>
              <w:t>các đoàn thể;</w:t>
            </w:r>
          </w:p>
          <w:p w:rsidR="003A4252" w:rsidRPr="002A1481" w:rsidRDefault="003A4252" w:rsidP="00D164B9">
            <w:pPr>
              <w:spacing w:line="204" w:lineRule="auto"/>
              <w:rPr>
                <w:sz w:val="22"/>
                <w:szCs w:val="22"/>
                <w:lang w:val="es-ES"/>
              </w:rPr>
            </w:pPr>
            <w:r w:rsidRPr="002A1481">
              <w:rPr>
                <w:sz w:val="22"/>
                <w:szCs w:val="22"/>
                <w:lang w:val="es-ES"/>
              </w:rPr>
              <w:t>- Kiểm toán Nhà nước;</w:t>
            </w:r>
          </w:p>
          <w:p w:rsidR="003A4252" w:rsidRPr="002A1481" w:rsidRDefault="003A4252" w:rsidP="00D164B9">
            <w:pPr>
              <w:spacing w:line="204" w:lineRule="auto"/>
              <w:rPr>
                <w:sz w:val="22"/>
                <w:szCs w:val="22"/>
                <w:lang w:val="es-ES"/>
              </w:rPr>
            </w:pPr>
            <w:r w:rsidRPr="002A1481">
              <w:rPr>
                <w:sz w:val="22"/>
                <w:szCs w:val="22"/>
                <w:lang w:val="es-ES"/>
              </w:rPr>
              <w:t xml:space="preserve">- Cục kiểm tra văn bản </w:t>
            </w:r>
            <w:r w:rsidR="00DA29A4" w:rsidRPr="002A1481">
              <w:rPr>
                <w:sz w:val="22"/>
                <w:szCs w:val="22"/>
                <w:lang w:val="es-ES"/>
              </w:rPr>
              <w:t>-</w:t>
            </w:r>
            <w:r w:rsidRPr="002A1481">
              <w:rPr>
                <w:sz w:val="22"/>
                <w:szCs w:val="22"/>
                <w:lang w:val="es-ES"/>
              </w:rPr>
              <w:t xml:space="preserve"> Bộ Tư pháp;</w:t>
            </w:r>
          </w:p>
          <w:p w:rsidR="003A4252" w:rsidRPr="002A1481" w:rsidRDefault="003A4252" w:rsidP="00D164B9">
            <w:pPr>
              <w:spacing w:line="204" w:lineRule="auto"/>
              <w:rPr>
                <w:sz w:val="22"/>
                <w:szCs w:val="22"/>
                <w:lang w:val="es-ES"/>
              </w:rPr>
            </w:pPr>
            <w:r w:rsidRPr="002A1481">
              <w:rPr>
                <w:sz w:val="22"/>
                <w:szCs w:val="22"/>
                <w:lang w:val="es-ES"/>
              </w:rPr>
              <w:t>- Công báo, Website Chính phủ;</w:t>
            </w:r>
          </w:p>
          <w:p w:rsidR="003A4252" w:rsidRPr="002A1481" w:rsidRDefault="003A4252" w:rsidP="00D164B9">
            <w:pPr>
              <w:spacing w:line="204" w:lineRule="auto"/>
              <w:rPr>
                <w:sz w:val="22"/>
                <w:szCs w:val="22"/>
                <w:lang w:val="es-ES"/>
              </w:rPr>
            </w:pPr>
            <w:r w:rsidRPr="002A1481">
              <w:rPr>
                <w:sz w:val="22"/>
                <w:szCs w:val="22"/>
                <w:lang w:val="es-ES"/>
              </w:rPr>
              <w:t>- Các đơn vị thuộc Bộ Tài chính;</w:t>
            </w:r>
          </w:p>
          <w:p w:rsidR="003A4252" w:rsidRPr="002A1481" w:rsidRDefault="003A4252" w:rsidP="00D164B9">
            <w:pPr>
              <w:spacing w:line="204" w:lineRule="auto"/>
              <w:rPr>
                <w:sz w:val="22"/>
                <w:szCs w:val="22"/>
                <w:lang w:val="es-ES"/>
              </w:rPr>
            </w:pPr>
            <w:r w:rsidRPr="002A1481">
              <w:rPr>
                <w:sz w:val="22"/>
                <w:szCs w:val="22"/>
                <w:lang w:val="es-ES"/>
              </w:rPr>
              <w:t>- Website Bộ Tài chính;</w:t>
            </w:r>
          </w:p>
          <w:p w:rsidR="003A4252" w:rsidRPr="002A1481" w:rsidRDefault="003A4252" w:rsidP="00D164B9">
            <w:pPr>
              <w:spacing w:line="204" w:lineRule="auto"/>
              <w:rPr>
                <w:sz w:val="22"/>
                <w:szCs w:val="22"/>
                <w:lang w:val="es-ES"/>
              </w:rPr>
            </w:pPr>
            <w:r w:rsidRPr="002A1481">
              <w:rPr>
                <w:sz w:val="22"/>
                <w:szCs w:val="22"/>
                <w:lang w:val="es-ES"/>
              </w:rPr>
              <w:t>- Hiệp hội bảo hiểm, DN</w:t>
            </w:r>
            <w:r w:rsidR="00C90503" w:rsidRPr="002A1481">
              <w:rPr>
                <w:sz w:val="22"/>
                <w:szCs w:val="22"/>
                <w:lang w:val="es-ES"/>
              </w:rPr>
              <w:t xml:space="preserve">PNT, DNTBH, DNMGBH; </w:t>
            </w:r>
          </w:p>
          <w:p w:rsidR="003A4252" w:rsidRPr="002A1481" w:rsidRDefault="003A4252" w:rsidP="00D164B9">
            <w:pPr>
              <w:spacing w:line="204" w:lineRule="auto"/>
              <w:rPr>
                <w:lang w:val="es-ES"/>
              </w:rPr>
            </w:pPr>
            <w:r w:rsidRPr="002A1481">
              <w:rPr>
                <w:sz w:val="22"/>
                <w:szCs w:val="22"/>
                <w:lang w:val="es-ES"/>
              </w:rPr>
              <w:t>- Lưu VT, Cục QLBH.</w:t>
            </w:r>
          </w:p>
        </w:tc>
        <w:tc>
          <w:tcPr>
            <w:tcW w:w="3600" w:type="dxa"/>
          </w:tcPr>
          <w:p w:rsidR="003A4252" w:rsidRPr="00EE458B" w:rsidRDefault="003A4252" w:rsidP="00972DAE">
            <w:pPr>
              <w:jc w:val="center"/>
              <w:rPr>
                <w:b/>
                <w:lang w:val="es-ES"/>
              </w:rPr>
            </w:pPr>
            <w:r w:rsidRPr="00EE458B">
              <w:rPr>
                <w:b/>
                <w:lang w:val="es-ES"/>
              </w:rPr>
              <w:t>KT. BỘ TRƯỞNG</w:t>
            </w:r>
          </w:p>
          <w:p w:rsidR="003A4252" w:rsidRPr="00EE458B" w:rsidRDefault="003A4252" w:rsidP="00972DAE">
            <w:pPr>
              <w:jc w:val="center"/>
              <w:rPr>
                <w:b/>
                <w:lang w:val="es-ES"/>
              </w:rPr>
            </w:pPr>
            <w:r w:rsidRPr="00EE458B">
              <w:rPr>
                <w:b/>
                <w:lang w:val="es-ES"/>
              </w:rPr>
              <w:t>THỨ TRƯỞNG</w:t>
            </w:r>
          </w:p>
          <w:p w:rsidR="003A4252" w:rsidRPr="00EE458B" w:rsidRDefault="003A4252" w:rsidP="00972DAE">
            <w:pPr>
              <w:keepNext/>
              <w:keepLines/>
              <w:spacing w:before="480"/>
              <w:jc w:val="center"/>
              <w:outlineLvl w:val="0"/>
              <w:rPr>
                <w:b/>
                <w:lang w:val="es-ES"/>
              </w:rPr>
            </w:pPr>
          </w:p>
          <w:p w:rsidR="003A4252" w:rsidRPr="00EE458B" w:rsidRDefault="003A4252" w:rsidP="00972DAE">
            <w:pPr>
              <w:keepNext/>
              <w:keepLines/>
              <w:spacing w:before="480"/>
              <w:jc w:val="center"/>
              <w:outlineLvl w:val="0"/>
              <w:rPr>
                <w:b/>
                <w:lang w:val="es-ES"/>
              </w:rPr>
            </w:pPr>
          </w:p>
          <w:p w:rsidR="003A4252" w:rsidRPr="00EE458B" w:rsidRDefault="003A4252" w:rsidP="00972DAE">
            <w:pPr>
              <w:keepNext/>
              <w:keepLines/>
              <w:spacing w:before="480"/>
              <w:jc w:val="center"/>
              <w:outlineLvl w:val="0"/>
              <w:rPr>
                <w:b/>
                <w:sz w:val="28"/>
                <w:szCs w:val="28"/>
                <w:lang w:val="es-ES"/>
              </w:rPr>
            </w:pPr>
          </w:p>
          <w:p w:rsidR="003A4252" w:rsidRPr="00EE458B" w:rsidRDefault="003A4252" w:rsidP="00972DAE">
            <w:pPr>
              <w:jc w:val="center"/>
              <w:rPr>
                <w:b/>
                <w:lang w:val="es-ES"/>
              </w:rPr>
            </w:pPr>
            <w:r w:rsidRPr="00EE458B">
              <w:rPr>
                <w:b/>
                <w:sz w:val="28"/>
                <w:szCs w:val="28"/>
                <w:lang w:val="es-ES"/>
              </w:rPr>
              <w:t>Trần Xuân Hà</w:t>
            </w:r>
          </w:p>
        </w:tc>
      </w:tr>
    </w:tbl>
    <w:p w:rsidR="005774C7" w:rsidRDefault="005774C7" w:rsidP="00440719">
      <w:pPr>
        <w:jc w:val="center"/>
      </w:pPr>
    </w:p>
    <w:sectPr w:rsidR="005774C7" w:rsidSect="00440719">
      <w:headerReference w:type="even" r:id="rId7"/>
      <w:footerReference w:type="even" r:id="rId8"/>
      <w:footerReference w:type="default" r:id="rId9"/>
      <w:pgSz w:w="11907" w:h="16840" w:code="9"/>
      <w:pgMar w:top="1134" w:right="1134" w:bottom="90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80" w:rsidRDefault="00BD1F80">
      <w:r>
        <w:separator/>
      </w:r>
    </w:p>
  </w:endnote>
  <w:endnote w:type="continuationSeparator" w:id="1">
    <w:p w:rsidR="00BD1F80" w:rsidRDefault="00BD1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59" w:rsidRDefault="00526A59" w:rsidP="00972D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A59" w:rsidRDefault="00526A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59" w:rsidRDefault="00526A59" w:rsidP="00972D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FAC">
      <w:rPr>
        <w:rStyle w:val="PageNumber"/>
        <w:noProof/>
      </w:rPr>
      <w:t>1</w:t>
    </w:r>
    <w:r>
      <w:rPr>
        <w:rStyle w:val="PageNumber"/>
      </w:rPr>
      <w:fldChar w:fldCharType="end"/>
    </w:r>
  </w:p>
  <w:p w:rsidR="00526A59" w:rsidRDefault="00526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80" w:rsidRDefault="00BD1F80">
      <w:r>
        <w:separator/>
      </w:r>
    </w:p>
  </w:footnote>
  <w:footnote w:type="continuationSeparator" w:id="1">
    <w:p w:rsidR="00BD1F80" w:rsidRDefault="00BD1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59" w:rsidRDefault="00526A59" w:rsidP="00972D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A59" w:rsidRDefault="00526A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F5C"/>
    <w:multiLevelType w:val="hybridMultilevel"/>
    <w:tmpl w:val="36C8EB52"/>
    <w:lvl w:ilvl="0" w:tplc="E0B0836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2512BC"/>
    <w:multiLevelType w:val="multilevel"/>
    <w:tmpl w:val="A1D0398C"/>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decimal"/>
      <w:lvlText w:val="4.%3."/>
      <w:lvlJc w:val="center"/>
      <w:pPr>
        <w:tabs>
          <w:tab w:val="num" w:pos="2556"/>
        </w:tabs>
        <w:ind w:left="2556" w:hanging="576"/>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CD63F22"/>
    <w:multiLevelType w:val="hybridMultilevel"/>
    <w:tmpl w:val="6688D2C2"/>
    <w:lvl w:ilvl="0" w:tplc="AC282C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D764A92"/>
    <w:multiLevelType w:val="hybridMultilevel"/>
    <w:tmpl w:val="843C5CA6"/>
    <w:lvl w:ilvl="0" w:tplc="0C821A7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2D956962"/>
    <w:multiLevelType w:val="hybridMultilevel"/>
    <w:tmpl w:val="369C7A1C"/>
    <w:lvl w:ilvl="0" w:tplc="B016F17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2FC26F18"/>
    <w:multiLevelType w:val="hybridMultilevel"/>
    <w:tmpl w:val="8482E640"/>
    <w:lvl w:ilvl="0" w:tplc="23C485CA">
      <w:start w:val="1"/>
      <w:numFmt w:val="decimal"/>
      <w:lvlText w:val="%1)"/>
      <w:lvlJc w:val="left"/>
      <w:pPr>
        <w:tabs>
          <w:tab w:val="num" w:pos="1476"/>
        </w:tabs>
        <w:ind w:left="1476"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308465BF"/>
    <w:multiLevelType w:val="hybridMultilevel"/>
    <w:tmpl w:val="C4988758"/>
    <w:lvl w:ilvl="0" w:tplc="4568049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067CA"/>
    <w:multiLevelType w:val="hybridMultilevel"/>
    <w:tmpl w:val="082A7F3A"/>
    <w:lvl w:ilvl="0" w:tplc="28D018B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E2D58F6"/>
    <w:multiLevelType w:val="hybridMultilevel"/>
    <w:tmpl w:val="0100B98A"/>
    <w:lvl w:ilvl="0" w:tplc="DB38AC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2EB46D5"/>
    <w:multiLevelType w:val="hybridMultilevel"/>
    <w:tmpl w:val="BEBE21EE"/>
    <w:lvl w:ilvl="0" w:tplc="04090013">
      <w:start w:val="1"/>
      <w:numFmt w:val="upperRoman"/>
      <w:lvlText w:val="%1."/>
      <w:lvlJc w:val="right"/>
      <w:pPr>
        <w:tabs>
          <w:tab w:val="num" w:pos="720"/>
        </w:tabs>
        <w:ind w:left="720" w:hanging="180"/>
      </w:pPr>
    </w:lvl>
    <w:lvl w:ilvl="1" w:tplc="473C2E9C">
      <w:start w:val="1"/>
      <w:numFmt w:val="decimal"/>
      <w:lvlText w:val="%2."/>
      <w:lvlJc w:val="left"/>
      <w:pPr>
        <w:tabs>
          <w:tab w:val="num" w:pos="1440"/>
        </w:tabs>
        <w:ind w:left="1440" w:hanging="360"/>
      </w:pPr>
      <w:rPr>
        <w:rFonts w:hint="default"/>
      </w:rPr>
    </w:lvl>
    <w:lvl w:ilvl="2" w:tplc="7B1C8594">
      <w:start w:val="1"/>
      <w:numFmt w:val="decimal"/>
      <w:lvlText w:val="1.%3."/>
      <w:lvlJc w:val="center"/>
      <w:pPr>
        <w:tabs>
          <w:tab w:val="num" w:pos="2556"/>
        </w:tabs>
        <w:ind w:left="2556" w:hanging="576"/>
      </w:pPr>
      <w:rPr>
        <w:rFonts w:hint="default"/>
      </w:r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486F70"/>
    <w:multiLevelType w:val="hybridMultilevel"/>
    <w:tmpl w:val="BB402D82"/>
    <w:lvl w:ilvl="0" w:tplc="9B0ED5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B88465F"/>
    <w:multiLevelType w:val="hybridMultilevel"/>
    <w:tmpl w:val="C480E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B748BE"/>
    <w:multiLevelType w:val="multilevel"/>
    <w:tmpl w:val="A1D0398C"/>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decimal"/>
      <w:lvlText w:val="4.%3."/>
      <w:lvlJc w:val="center"/>
      <w:pPr>
        <w:tabs>
          <w:tab w:val="num" w:pos="2556"/>
        </w:tabs>
        <w:ind w:left="2556" w:hanging="576"/>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0F31820"/>
    <w:multiLevelType w:val="hybridMultilevel"/>
    <w:tmpl w:val="8B7A68B0"/>
    <w:lvl w:ilvl="0" w:tplc="0409000F">
      <w:start w:val="1"/>
      <w:numFmt w:val="decimal"/>
      <w:lvlText w:val="%1."/>
      <w:lvlJc w:val="left"/>
      <w:pPr>
        <w:tabs>
          <w:tab w:val="num" w:pos="720"/>
        </w:tabs>
        <w:ind w:left="720" w:hanging="360"/>
      </w:pPr>
      <w:rPr>
        <w:rFonts w:hint="default"/>
      </w:rPr>
    </w:lvl>
    <w:lvl w:ilvl="1" w:tplc="654698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1E72F3"/>
    <w:multiLevelType w:val="hybridMultilevel"/>
    <w:tmpl w:val="C1685D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1371F13"/>
    <w:multiLevelType w:val="hybridMultilevel"/>
    <w:tmpl w:val="C728F45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71DF367E"/>
    <w:multiLevelType w:val="hybridMultilevel"/>
    <w:tmpl w:val="D97C2BF4"/>
    <w:lvl w:ilvl="0" w:tplc="E2045DAA">
      <w:start w:val="1"/>
      <w:numFmt w:val="decimal"/>
      <w:lvlText w:val="%1."/>
      <w:lvlJc w:val="left"/>
      <w:pPr>
        <w:tabs>
          <w:tab w:val="num" w:pos="1452"/>
        </w:tabs>
        <w:ind w:left="1452" w:hanging="885"/>
      </w:pPr>
      <w:rPr>
        <w:rFonts w:ascii=".VnTime" w:hAnsi=".VnTime" w:cs=".VnTime"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71E947FA"/>
    <w:multiLevelType w:val="hybridMultilevel"/>
    <w:tmpl w:val="B3626D0C"/>
    <w:lvl w:ilvl="0" w:tplc="778C9A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C24B50"/>
    <w:multiLevelType w:val="hybridMultilevel"/>
    <w:tmpl w:val="E7623278"/>
    <w:lvl w:ilvl="0" w:tplc="9FDE7A94">
      <w:start w:val="1"/>
      <w:numFmt w:val="decimal"/>
      <w:lvlText w:val="%1."/>
      <w:lvlJc w:val="left"/>
      <w:pPr>
        <w:tabs>
          <w:tab w:val="num" w:pos="907"/>
        </w:tabs>
        <w:ind w:left="907" w:hanging="360"/>
      </w:pPr>
      <w:rPr>
        <w:rFonts w:hint="default"/>
        <w:u w:val="non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9">
    <w:nsid w:val="73887B07"/>
    <w:multiLevelType w:val="hybridMultilevel"/>
    <w:tmpl w:val="DE5855E2"/>
    <w:lvl w:ilvl="0" w:tplc="B060BFF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8"/>
  </w:num>
  <w:num w:numId="2">
    <w:abstractNumId w:val="16"/>
  </w:num>
  <w:num w:numId="3">
    <w:abstractNumId w:val="11"/>
  </w:num>
  <w:num w:numId="4">
    <w:abstractNumId w:val="10"/>
  </w:num>
  <w:num w:numId="5">
    <w:abstractNumId w:val="14"/>
  </w:num>
  <w:num w:numId="6">
    <w:abstractNumId w:val="6"/>
  </w:num>
  <w:num w:numId="7">
    <w:abstractNumId w:val="15"/>
  </w:num>
  <w:num w:numId="8">
    <w:abstractNumId w:val="3"/>
  </w:num>
  <w:num w:numId="9">
    <w:abstractNumId w:val="5"/>
  </w:num>
  <w:num w:numId="10">
    <w:abstractNumId w:val="19"/>
  </w:num>
  <w:num w:numId="11">
    <w:abstractNumId w:val="4"/>
  </w:num>
  <w:num w:numId="12">
    <w:abstractNumId w:val="7"/>
  </w:num>
  <w:num w:numId="13">
    <w:abstractNumId w:val="13"/>
  </w:num>
  <w:num w:numId="14">
    <w:abstractNumId w:val="9"/>
  </w:num>
  <w:num w:numId="15">
    <w:abstractNumId w:val="17"/>
  </w:num>
  <w:num w:numId="16">
    <w:abstractNumId w:val="12"/>
  </w:num>
  <w:num w:numId="17">
    <w:abstractNumId w:val="1"/>
  </w:num>
  <w:num w:numId="18">
    <w:abstractNumId w:val="2"/>
  </w:num>
  <w:num w:numId="19">
    <w:abstractNumId w:val="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A4252"/>
    <w:rsid w:val="00003D34"/>
    <w:rsid w:val="00005650"/>
    <w:rsid w:val="0002706F"/>
    <w:rsid w:val="00044122"/>
    <w:rsid w:val="00056F06"/>
    <w:rsid w:val="000902E2"/>
    <w:rsid w:val="00097F41"/>
    <w:rsid w:val="000A01FE"/>
    <w:rsid w:val="000B1C0A"/>
    <w:rsid w:val="000B47C7"/>
    <w:rsid w:val="000C4734"/>
    <w:rsid w:val="000C5171"/>
    <w:rsid w:val="000C7329"/>
    <w:rsid w:val="000C7C97"/>
    <w:rsid w:val="000D1271"/>
    <w:rsid w:val="000E249D"/>
    <w:rsid w:val="001026E4"/>
    <w:rsid w:val="00103C57"/>
    <w:rsid w:val="00113270"/>
    <w:rsid w:val="00131B40"/>
    <w:rsid w:val="00147584"/>
    <w:rsid w:val="00161824"/>
    <w:rsid w:val="00163E36"/>
    <w:rsid w:val="00172C7E"/>
    <w:rsid w:val="001779E3"/>
    <w:rsid w:val="001807FB"/>
    <w:rsid w:val="001B3B3C"/>
    <w:rsid w:val="001B740F"/>
    <w:rsid w:val="001B7CB6"/>
    <w:rsid w:val="001E117A"/>
    <w:rsid w:val="001E670C"/>
    <w:rsid w:val="001F7A83"/>
    <w:rsid w:val="00204CC4"/>
    <w:rsid w:val="002066CC"/>
    <w:rsid w:val="00206F7D"/>
    <w:rsid w:val="002072ED"/>
    <w:rsid w:val="002101B1"/>
    <w:rsid w:val="00210C88"/>
    <w:rsid w:val="0021285A"/>
    <w:rsid w:val="00222721"/>
    <w:rsid w:val="002311BE"/>
    <w:rsid w:val="00234EC8"/>
    <w:rsid w:val="002506ED"/>
    <w:rsid w:val="00255BB8"/>
    <w:rsid w:val="00264046"/>
    <w:rsid w:val="0026488F"/>
    <w:rsid w:val="002655F5"/>
    <w:rsid w:val="00267BCA"/>
    <w:rsid w:val="00271A8C"/>
    <w:rsid w:val="00282DD7"/>
    <w:rsid w:val="002A1481"/>
    <w:rsid w:val="002A6916"/>
    <w:rsid w:val="002B2DBD"/>
    <w:rsid w:val="002C3FA4"/>
    <w:rsid w:val="002D0201"/>
    <w:rsid w:val="002E2F1D"/>
    <w:rsid w:val="002E6F65"/>
    <w:rsid w:val="00314CE6"/>
    <w:rsid w:val="00340B9D"/>
    <w:rsid w:val="00346ACB"/>
    <w:rsid w:val="00346B7E"/>
    <w:rsid w:val="00346F2E"/>
    <w:rsid w:val="003621F1"/>
    <w:rsid w:val="00365A67"/>
    <w:rsid w:val="00373477"/>
    <w:rsid w:val="003807A7"/>
    <w:rsid w:val="00383A71"/>
    <w:rsid w:val="0038579B"/>
    <w:rsid w:val="003861E5"/>
    <w:rsid w:val="00387767"/>
    <w:rsid w:val="003A254C"/>
    <w:rsid w:val="003A4252"/>
    <w:rsid w:val="003B0059"/>
    <w:rsid w:val="003B73D4"/>
    <w:rsid w:val="003C49FA"/>
    <w:rsid w:val="003D66C4"/>
    <w:rsid w:val="003D7AB9"/>
    <w:rsid w:val="003F72AB"/>
    <w:rsid w:val="004015D7"/>
    <w:rsid w:val="00401E40"/>
    <w:rsid w:val="00405EB7"/>
    <w:rsid w:val="00416011"/>
    <w:rsid w:val="004300AC"/>
    <w:rsid w:val="00440719"/>
    <w:rsid w:val="00445245"/>
    <w:rsid w:val="00445E26"/>
    <w:rsid w:val="00446E96"/>
    <w:rsid w:val="004472F8"/>
    <w:rsid w:val="004508D6"/>
    <w:rsid w:val="00455FF2"/>
    <w:rsid w:val="00474A04"/>
    <w:rsid w:val="00483FCA"/>
    <w:rsid w:val="004940EC"/>
    <w:rsid w:val="00495BEF"/>
    <w:rsid w:val="004A318D"/>
    <w:rsid w:val="004B02CE"/>
    <w:rsid w:val="004C142B"/>
    <w:rsid w:val="004C2143"/>
    <w:rsid w:val="004D11B3"/>
    <w:rsid w:val="004F34AD"/>
    <w:rsid w:val="004F3916"/>
    <w:rsid w:val="004F4A65"/>
    <w:rsid w:val="00506094"/>
    <w:rsid w:val="005067DF"/>
    <w:rsid w:val="00506F80"/>
    <w:rsid w:val="005076A7"/>
    <w:rsid w:val="005246BA"/>
    <w:rsid w:val="00525F7B"/>
    <w:rsid w:val="00526A59"/>
    <w:rsid w:val="0053088C"/>
    <w:rsid w:val="00530895"/>
    <w:rsid w:val="00546F32"/>
    <w:rsid w:val="00557473"/>
    <w:rsid w:val="00562BE9"/>
    <w:rsid w:val="00562EF1"/>
    <w:rsid w:val="00565730"/>
    <w:rsid w:val="005711B0"/>
    <w:rsid w:val="00573920"/>
    <w:rsid w:val="005774C7"/>
    <w:rsid w:val="00594DC9"/>
    <w:rsid w:val="0059625C"/>
    <w:rsid w:val="005A05C0"/>
    <w:rsid w:val="005A1277"/>
    <w:rsid w:val="005A2A8A"/>
    <w:rsid w:val="005A2BF8"/>
    <w:rsid w:val="005A55B5"/>
    <w:rsid w:val="005B1103"/>
    <w:rsid w:val="005B4E9F"/>
    <w:rsid w:val="005B69A0"/>
    <w:rsid w:val="005C0EA8"/>
    <w:rsid w:val="005C4BA3"/>
    <w:rsid w:val="005C4E58"/>
    <w:rsid w:val="005E48FA"/>
    <w:rsid w:val="005F133D"/>
    <w:rsid w:val="00607FAC"/>
    <w:rsid w:val="00613CD6"/>
    <w:rsid w:val="006172FA"/>
    <w:rsid w:val="006206BC"/>
    <w:rsid w:val="00620B29"/>
    <w:rsid w:val="006243C7"/>
    <w:rsid w:val="0062538A"/>
    <w:rsid w:val="0062768D"/>
    <w:rsid w:val="00633AD2"/>
    <w:rsid w:val="0064700B"/>
    <w:rsid w:val="00660676"/>
    <w:rsid w:val="00665BBF"/>
    <w:rsid w:val="00670168"/>
    <w:rsid w:val="00673BBE"/>
    <w:rsid w:val="006822ED"/>
    <w:rsid w:val="00690CF3"/>
    <w:rsid w:val="00693829"/>
    <w:rsid w:val="006A3F0D"/>
    <w:rsid w:val="006A43CB"/>
    <w:rsid w:val="006C2232"/>
    <w:rsid w:val="006D636B"/>
    <w:rsid w:val="006D691D"/>
    <w:rsid w:val="006E0EE8"/>
    <w:rsid w:val="006E7D44"/>
    <w:rsid w:val="006F6993"/>
    <w:rsid w:val="006F7137"/>
    <w:rsid w:val="00702164"/>
    <w:rsid w:val="00703D18"/>
    <w:rsid w:val="00710997"/>
    <w:rsid w:val="007113D6"/>
    <w:rsid w:val="00720F8F"/>
    <w:rsid w:val="007306B3"/>
    <w:rsid w:val="00741383"/>
    <w:rsid w:val="00744707"/>
    <w:rsid w:val="00773CA6"/>
    <w:rsid w:val="00780F32"/>
    <w:rsid w:val="00790DE4"/>
    <w:rsid w:val="00792057"/>
    <w:rsid w:val="0079483D"/>
    <w:rsid w:val="00797814"/>
    <w:rsid w:val="007A4013"/>
    <w:rsid w:val="007A5671"/>
    <w:rsid w:val="007B1AA5"/>
    <w:rsid w:val="007B44D5"/>
    <w:rsid w:val="007C1E9E"/>
    <w:rsid w:val="007C1FA3"/>
    <w:rsid w:val="007D06C9"/>
    <w:rsid w:val="007D32C3"/>
    <w:rsid w:val="007D5B95"/>
    <w:rsid w:val="007E23A5"/>
    <w:rsid w:val="007F6ABB"/>
    <w:rsid w:val="007F7D4C"/>
    <w:rsid w:val="00802A7B"/>
    <w:rsid w:val="00804EF1"/>
    <w:rsid w:val="0081262F"/>
    <w:rsid w:val="008135D6"/>
    <w:rsid w:val="00817B5D"/>
    <w:rsid w:val="00827953"/>
    <w:rsid w:val="00833727"/>
    <w:rsid w:val="00842A2A"/>
    <w:rsid w:val="00853159"/>
    <w:rsid w:val="00854280"/>
    <w:rsid w:val="0086493C"/>
    <w:rsid w:val="00882EF4"/>
    <w:rsid w:val="00891738"/>
    <w:rsid w:val="008939F6"/>
    <w:rsid w:val="008A28DC"/>
    <w:rsid w:val="008A7C68"/>
    <w:rsid w:val="008D26B5"/>
    <w:rsid w:val="008D3E0A"/>
    <w:rsid w:val="008E25BD"/>
    <w:rsid w:val="008F1FE0"/>
    <w:rsid w:val="009018B8"/>
    <w:rsid w:val="00913B7E"/>
    <w:rsid w:val="009159B1"/>
    <w:rsid w:val="009549E6"/>
    <w:rsid w:val="00960522"/>
    <w:rsid w:val="009654E0"/>
    <w:rsid w:val="00967511"/>
    <w:rsid w:val="00971DD3"/>
    <w:rsid w:val="00972DAE"/>
    <w:rsid w:val="00980A8A"/>
    <w:rsid w:val="00983D8B"/>
    <w:rsid w:val="00986D22"/>
    <w:rsid w:val="009A1C97"/>
    <w:rsid w:val="009A1E58"/>
    <w:rsid w:val="009A730E"/>
    <w:rsid w:val="009A7A1E"/>
    <w:rsid w:val="009B6A75"/>
    <w:rsid w:val="009C7F39"/>
    <w:rsid w:val="009F1BC3"/>
    <w:rsid w:val="009F1CD9"/>
    <w:rsid w:val="009F3691"/>
    <w:rsid w:val="009F4EA9"/>
    <w:rsid w:val="00A00A4B"/>
    <w:rsid w:val="00A149A7"/>
    <w:rsid w:val="00A30087"/>
    <w:rsid w:val="00A311F3"/>
    <w:rsid w:val="00A40B06"/>
    <w:rsid w:val="00A428CB"/>
    <w:rsid w:val="00A46E18"/>
    <w:rsid w:val="00A53D3F"/>
    <w:rsid w:val="00A55001"/>
    <w:rsid w:val="00A61EB5"/>
    <w:rsid w:val="00A644FF"/>
    <w:rsid w:val="00A64BBD"/>
    <w:rsid w:val="00A65BEB"/>
    <w:rsid w:val="00A75008"/>
    <w:rsid w:val="00A814FD"/>
    <w:rsid w:val="00A97A91"/>
    <w:rsid w:val="00AB6576"/>
    <w:rsid w:val="00AB6F8A"/>
    <w:rsid w:val="00AC4392"/>
    <w:rsid w:val="00AC7388"/>
    <w:rsid w:val="00AD3442"/>
    <w:rsid w:val="00AE0000"/>
    <w:rsid w:val="00AE24E6"/>
    <w:rsid w:val="00AE4747"/>
    <w:rsid w:val="00B00DC9"/>
    <w:rsid w:val="00B102A7"/>
    <w:rsid w:val="00B147C5"/>
    <w:rsid w:val="00B2564A"/>
    <w:rsid w:val="00B36101"/>
    <w:rsid w:val="00B44604"/>
    <w:rsid w:val="00B57133"/>
    <w:rsid w:val="00B67433"/>
    <w:rsid w:val="00B809C6"/>
    <w:rsid w:val="00B845F3"/>
    <w:rsid w:val="00B853BA"/>
    <w:rsid w:val="00B87FAE"/>
    <w:rsid w:val="00B900C5"/>
    <w:rsid w:val="00B907EE"/>
    <w:rsid w:val="00B952D4"/>
    <w:rsid w:val="00BA55CF"/>
    <w:rsid w:val="00BB0610"/>
    <w:rsid w:val="00BB2C4C"/>
    <w:rsid w:val="00BC025D"/>
    <w:rsid w:val="00BC7452"/>
    <w:rsid w:val="00BD1F80"/>
    <w:rsid w:val="00BD235C"/>
    <w:rsid w:val="00BD5129"/>
    <w:rsid w:val="00BD5CC7"/>
    <w:rsid w:val="00BE7BDB"/>
    <w:rsid w:val="00BF2890"/>
    <w:rsid w:val="00BF2A5E"/>
    <w:rsid w:val="00BF3533"/>
    <w:rsid w:val="00C03AEF"/>
    <w:rsid w:val="00C16353"/>
    <w:rsid w:val="00C20665"/>
    <w:rsid w:val="00C424ED"/>
    <w:rsid w:val="00C66B89"/>
    <w:rsid w:val="00C765E5"/>
    <w:rsid w:val="00C801E3"/>
    <w:rsid w:val="00C811C9"/>
    <w:rsid w:val="00C834B2"/>
    <w:rsid w:val="00C90503"/>
    <w:rsid w:val="00C96D7A"/>
    <w:rsid w:val="00C97C00"/>
    <w:rsid w:val="00CA226A"/>
    <w:rsid w:val="00CA69DE"/>
    <w:rsid w:val="00CB1E30"/>
    <w:rsid w:val="00CB2454"/>
    <w:rsid w:val="00CB2D04"/>
    <w:rsid w:val="00CB450F"/>
    <w:rsid w:val="00CB6515"/>
    <w:rsid w:val="00CC0ADB"/>
    <w:rsid w:val="00CC1B54"/>
    <w:rsid w:val="00CC3594"/>
    <w:rsid w:val="00CD54D4"/>
    <w:rsid w:val="00CE19A7"/>
    <w:rsid w:val="00CE4520"/>
    <w:rsid w:val="00CF3413"/>
    <w:rsid w:val="00CF639A"/>
    <w:rsid w:val="00D0576A"/>
    <w:rsid w:val="00D077E9"/>
    <w:rsid w:val="00D103CD"/>
    <w:rsid w:val="00D164B9"/>
    <w:rsid w:val="00D20932"/>
    <w:rsid w:val="00D26D63"/>
    <w:rsid w:val="00D30C9F"/>
    <w:rsid w:val="00D322E9"/>
    <w:rsid w:val="00D327E1"/>
    <w:rsid w:val="00D4512D"/>
    <w:rsid w:val="00D45C06"/>
    <w:rsid w:val="00D6117C"/>
    <w:rsid w:val="00D628F8"/>
    <w:rsid w:val="00D65114"/>
    <w:rsid w:val="00D82C0C"/>
    <w:rsid w:val="00D90112"/>
    <w:rsid w:val="00D92B0B"/>
    <w:rsid w:val="00D979E7"/>
    <w:rsid w:val="00D97ADC"/>
    <w:rsid w:val="00DA29A4"/>
    <w:rsid w:val="00DA4601"/>
    <w:rsid w:val="00DD4A6F"/>
    <w:rsid w:val="00DD57ED"/>
    <w:rsid w:val="00DD71D9"/>
    <w:rsid w:val="00DE3571"/>
    <w:rsid w:val="00DF1C13"/>
    <w:rsid w:val="00E00B4E"/>
    <w:rsid w:val="00E028B2"/>
    <w:rsid w:val="00E11ADD"/>
    <w:rsid w:val="00E12081"/>
    <w:rsid w:val="00E2647D"/>
    <w:rsid w:val="00E26C29"/>
    <w:rsid w:val="00E27CA2"/>
    <w:rsid w:val="00E32920"/>
    <w:rsid w:val="00E3491E"/>
    <w:rsid w:val="00E46F73"/>
    <w:rsid w:val="00E47C1B"/>
    <w:rsid w:val="00E53C25"/>
    <w:rsid w:val="00E603B2"/>
    <w:rsid w:val="00E62F82"/>
    <w:rsid w:val="00E670CA"/>
    <w:rsid w:val="00E70A4F"/>
    <w:rsid w:val="00E75606"/>
    <w:rsid w:val="00E77D37"/>
    <w:rsid w:val="00E91EB7"/>
    <w:rsid w:val="00E9782B"/>
    <w:rsid w:val="00EA231B"/>
    <w:rsid w:val="00EA24DE"/>
    <w:rsid w:val="00EA48E8"/>
    <w:rsid w:val="00EB3638"/>
    <w:rsid w:val="00EB70DB"/>
    <w:rsid w:val="00ED5AF2"/>
    <w:rsid w:val="00EE6DE3"/>
    <w:rsid w:val="00EE7632"/>
    <w:rsid w:val="00EF6D6B"/>
    <w:rsid w:val="00F01067"/>
    <w:rsid w:val="00F019B4"/>
    <w:rsid w:val="00F20E88"/>
    <w:rsid w:val="00F21CFD"/>
    <w:rsid w:val="00F25A55"/>
    <w:rsid w:val="00F40E53"/>
    <w:rsid w:val="00F41D90"/>
    <w:rsid w:val="00F42784"/>
    <w:rsid w:val="00F50BE3"/>
    <w:rsid w:val="00F52840"/>
    <w:rsid w:val="00F544C8"/>
    <w:rsid w:val="00F64F3A"/>
    <w:rsid w:val="00F6691B"/>
    <w:rsid w:val="00F71303"/>
    <w:rsid w:val="00F81808"/>
    <w:rsid w:val="00F94277"/>
    <w:rsid w:val="00FA1F9A"/>
    <w:rsid w:val="00FB7854"/>
    <w:rsid w:val="00FB7AF6"/>
    <w:rsid w:val="00FC0589"/>
    <w:rsid w:val="00FC674C"/>
    <w:rsid w:val="00FD22DA"/>
    <w:rsid w:val="00FD2C11"/>
    <w:rsid w:val="00FE4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252"/>
    <w:rPr>
      <w:sz w:val="24"/>
      <w:szCs w:val="24"/>
    </w:rPr>
  </w:style>
  <w:style w:type="paragraph" w:styleId="Heading2">
    <w:name w:val="heading 2"/>
    <w:basedOn w:val="Normal"/>
    <w:next w:val="Normal"/>
    <w:qFormat/>
    <w:rsid w:val="003A4252"/>
    <w:pPr>
      <w:keepNext/>
      <w:tabs>
        <w:tab w:val="left" w:pos="709"/>
      </w:tabs>
      <w:autoSpaceDE w:val="0"/>
      <w:autoSpaceDN w:val="0"/>
      <w:spacing w:after="240"/>
      <w:jc w:val="center"/>
      <w:outlineLvl w:val="1"/>
    </w:pPr>
    <w:rPr>
      <w:rFonts w:ascii=".VnTime" w:hAnsi=".VnTime" w:cs=".VnTime"/>
      <w:b/>
      <w:bCs/>
      <w:i/>
      <w:iCs/>
      <w:sz w:val="28"/>
      <w:szCs w:val="28"/>
    </w:rPr>
  </w:style>
  <w:style w:type="paragraph" w:styleId="Heading3">
    <w:name w:val="heading 3"/>
    <w:basedOn w:val="Normal"/>
    <w:next w:val="Normal"/>
    <w:qFormat/>
    <w:rsid w:val="00D65114"/>
    <w:pPr>
      <w:keepNext/>
      <w:spacing w:line="360" w:lineRule="exact"/>
      <w:jc w:val="center"/>
      <w:outlineLvl w:val="2"/>
    </w:pPr>
    <w:rPr>
      <w:rFonts w:ascii=".VnTime" w:hAnsi=".VnTime"/>
      <w:b/>
      <w:sz w:val="28"/>
      <w:szCs w:val="20"/>
    </w:rPr>
  </w:style>
  <w:style w:type="paragraph" w:styleId="Heading4">
    <w:name w:val="heading 4"/>
    <w:basedOn w:val="Normal"/>
    <w:next w:val="Normal"/>
    <w:qFormat/>
    <w:rsid w:val="00D65114"/>
    <w:pPr>
      <w:keepNext/>
      <w:spacing w:before="240" w:after="60"/>
      <w:outlineLvl w:val="3"/>
    </w:pPr>
    <w:rPr>
      <w:b/>
      <w:bCs/>
      <w:sz w:val="28"/>
      <w:szCs w:val="28"/>
    </w:rPr>
  </w:style>
  <w:style w:type="paragraph" w:styleId="Heading7">
    <w:name w:val="heading 7"/>
    <w:basedOn w:val="Normal"/>
    <w:next w:val="Normal"/>
    <w:qFormat/>
    <w:rsid w:val="00D65114"/>
    <w:pPr>
      <w:keepNext/>
      <w:autoSpaceDE w:val="0"/>
      <w:autoSpaceDN w:val="0"/>
      <w:jc w:val="both"/>
      <w:outlineLvl w:val="6"/>
    </w:pPr>
    <w:rPr>
      <w:rFonts w:ascii=".VnTime" w:hAnsi=".VnTime" w:cs=".VnTime"/>
      <w:sz w:val="26"/>
      <w:szCs w:val="26"/>
    </w:rPr>
  </w:style>
  <w:style w:type="paragraph" w:styleId="Heading8">
    <w:name w:val="heading 8"/>
    <w:basedOn w:val="Normal"/>
    <w:next w:val="Normal"/>
    <w:qFormat/>
    <w:rsid w:val="00D65114"/>
    <w:pPr>
      <w:keepNext/>
      <w:autoSpaceDE w:val="0"/>
      <w:autoSpaceDN w:val="0"/>
      <w:jc w:val="center"/>
      <w:outlineLvl w:val="7"/>
    </w:pPr>
    <w:rPr>
      <w:rFonts w:ascii=".VnTimeH" w:hAnsi=".VnTimeH" w:cs=".VnTimeH"/>
      <w:b/>
      <w:bCs/>
      <w:sz w:val="26"/>
      <w:szCs w:val="26"/>
    </w:rPr>
  </w:style>
  <w:style w:type="paragraph" w:styleId="Heading9">
    <w:name w:val="heading 9"/>
    <w:basedOn w:val="Normal"/>
    <w:next w:val="Normal"/>
    <w:qFormat/>
    <w:rsid w:val="003A4252"/>
    <w:pPr>
      <w:keepNext/>
      <w:autoSpaceDE w:val="0"/>
      <w:autoSpaceDN w:val="0"/>
      <w:jc w:val="center"/>
      <w:outlineLvl w:val="8"/>
    </w:pPr>
    <w:rPr>
      <w:rFonts w:ascii=".VnTime" w:hAnsi=".VnTime" w:cs=".VnTime"/>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252"/>
    <w:pPr>
      <w:tabs>
        <w:tab w:val="center" w:pos="4320"/>
        <w:tab w:val="right" w:pos="8640"/>
      </w:tabs>
    </w:pPr>
  </w:style>
  <w:style w:type="character" w:styleId="PageNumber">
    <w:name w:val="page number"/>
    <w:basedOn w:val="DefaultParagraphFont"/>
    <w:rsid w:val="003A4252"/>
  </w:style>
  <w:style w:type="paragraph" w:styleId="Header">
    <w:name w:val="header"/>
    <w:basedOn w:val="Normal"/>
    <w:rsid w:val="003A4252"/>
    <w:pPr>
      <w:tabs>
        <w:tab w:val="center" w:pos="4320"/>
        <w:tab w:val="right" w:pos="8640"/>
      </w:tabs>
    </w:pPr>
  </w:style>
  <w:style w:type="paragraph" w:customStyle="1" w:styleId="Char">
    <w:name w:val="Char"/>
    <w:basedOn w:val="Normal"/>
    <w:next w:val="Normal"/>
    <w:autoRedefine/>
    <w:semiHidden/>
    <w:rsid w:val="003A4252"/>
    <w:pPr>
      <w:spacing w:before="120" w:after="120" w:line="312" w:lineRule="auto"/>
    </w:pPr>
    <w:rPr>
      <w:sz w:val="28"/>
      <w:szCs w:val="28"/>
    </w:rPr>
  </w:style>
  <w:style w:type="paragraph" w:customStyle="1" w:styleId="dieu">
    <w:name w:val="dieu"/>
    <w:basedOn w:val="Normal"/>
    <w:link w:val="dieuChar"/>
    <w:rsid w:val="00D65114"/>
    <w:pPr>
      <w:spacing w:after="120"/>
      <w:ind w:firstLine="720"/>
    </w:pPr>
    <w:rPr>
      <w:b/>
      <w:color w:val="0000FF"/>
      <w:sz w:val="26"/>
      <w:szCs w:val="20"/>
    </w:rPr>
  </w:style>
  <w:style w:type="character" w:customStyle="1" w:styleId="dieuChar">
    <w:name w:val="dieu Char"/>
    <w:basedOn w:val="DefaultParagraphFont"/>
    <w:link w:val="dieu"/>
    <w:rsid w:val="00D65114"/>
    <w:rPr>
      <w:b/>
      <w:color w:val="0000FF"/>
      <w:sz w:val="26"/>
      <w:lang w:val="en-US" w:eastAsia="en-US" w:bidi="ar-SA"/>
    </w:rPr>
  </w:style>
  <w:style w:type="paragraph" w:customStyle="1" w:styleId="Giua">
    <w:name w:val="Giua"/>
    <w:basedOn w:val="Normal"/>
    <w:link w:val="GiuaChar"/>
    <w:rsid w:val="00D65114"/>
    <w:pPr>
      <w:spacing w:after="120"/>
      <w:jc w:val="center"/>
    </w:pPr>
    <w:rPr>
      <w:b/>
      <w:color w:val="0000FF"/>
      <w:szCs w:val="20"/>
    </w:rPr>
  </w:style>
  <w:style w:type="character" w:customStyle="1" w:styleId="GiuaChar">
    <w:name w:val="Giua Char"/>
    <w:basedOn w:val="DefaultParagraphFont"/>
    <w:link w:val="Giua"/>
    <w:rsid w:val="00D65114"/>
    <w:rPr>
      <w:b/>
      <w:color w:val="0000FF"/>
      <w:sz w:val="24"/>
      <w:lang w:val="en-US" w:eastAsia="en-US" w:bidi="ar-SA"/>
    </w:rPr>
  </w:style>
  <w:style w:type="paragraph" w:customStyle="1" w:styleId="NormalTimesNewRoman">
    <w:name w:val="Normal + Times New Roman"/>
    <w:basedOn w:val="Normal"/>
    <w:rsid w:val="00D65114"/>
    <w:pPr>
      <w:ind w:firstLine="720"/>
      <w:jc w:val="both"/>
    </w:pPr>
    <w:rPr>
      <w:sz w:val="28"/>
      <w:szCs w:val="20"/>
    </w:rPr>
  </w:style>
  <w:style w:type="paragraph" w:customStyle="1" w:styleId="n-dieund">
    <w:name w:val="n-dieund"/>
    <w:basedOn w:val="Normal"/>
    <w:rsid w:val="00D65114"/>
    <w:pPr>
      <w:autoSpaceDE w:val="0"/>
      <w:autoSpaceDN w:val="0"/>
      <w:spacing w:after="120"/>
      <w:ind w:firstLine="709"/>
      <w:jc w:val="both"/>
    </w:pPr>
    <w:rPr>
      <w:rFonts w:ascii=".VnTime" w:hAnsi=".VnTime" w:cs=".VnTime"/>
      <w:sz w:val="28"/>
      <w:szCs w:val="28"/>
    </w:rPr>
  </w:style>
  <w:style w:type="paragraph" w:styleId="BodyText2">
    <w:name w:val="Body Text 2"/>
    <w:basedOn w:val="Normal"/>
    <w:rsid w:val="00D65114"/>
    <w:pPr>
      <w:jc w:val="both"/>
    </w:pPr>
    <w:rPr>
      <w:rFonts w:ascii=".VnTime" w:hAnsi=".VnTime"/>
      <w:sz w:val="28"/>
      <w:szCs w:val="20"/>
    </w:rPr>
  </w:style>
  <w:style w:type="paragraph" w:styleId="BodyText">
    <w:name w:val="Body Text"/>
    <w:basedOn w:val="Normal"/>
    <w:rsid w:val="00D65114"/>
    <w:pPr>
      <w:spacing w:line="360" w:lineRule="auto"/>
      <w:jc w:val="both"/>
    </w:pPr>
    <w:rPr>
      <w:rFonts w:ascii=".VnTime" w:hAnsi=".VnTime"/>
      <w:b/>
      <w:sz w:val="26"/>
      <w:szCs w:val="20"/>
    </w:rPr>
  </w:style>
  <w:style w:type="paragraph" w:styleId="BodyTextIndent3">
    <w:name w:val="Body Text Indent 3"/>
    <w:basedOn w:val="Normal"/>
    <w:rsid w:val="00D65114"/>
    <w:pPr>
      <w:ind w:firstLine="720"/>
      <w:jc w:val="both"/>
    </w:pPr>
    <w:rPr>
      <w:rFonts w:ascii=".VnTime" w:hAnsi=".VnTime"/>
      <w:sz w:val="28"/>
      <w:szCs w:val="20"/>
    </w:rPr>
  </w:style>
  <w:style w:type="paragraph" w:styleId="BodyTextIndent">
    <w:name w:val="Body Text Indent"/>
    <w:basedOn w:val="Normal"/>
    <w:rsid w:val="00D65114"/>
    <w:pPr>
      <w:ind w:firstLine="720"/>
      <w:jc w:val="both"/>
    </w:pPr>
    <w:rPr>
      <w:rFonts w:ascii=".VnTime" w:hAnsi=".VnTime" w:cs="Arial"/>
      <w:bCs/>
      <w:sz w:val="28"/>
      <w:szCs w:val="28"/>
    </w:rPr>
  </w:style>
  <w:style w:type="paragraph" w:customStyle="1" w:styleId="abc">
    <w:name w:val="abc"/>
    <w:basedOn w:val="Normal"/>
    <w:rsid w:val="00D65114"/>
    <w:pPr>
      <w:widowControl w:val="0"/>
    </w:pPr>
    <w:rPr>
      <w:rFonts w:ascii=".VnTime" w:hAnsi=".VnTime"/>
      <w:sz w:val="28"/>
      <w:szCs w:val="20"/>
    </w:rPr>
  </w:style>
  <w:style w:type="paragraph" w:customStyle="1" w:styleId="1chinhtrang">
    <w:name w:val="1 chinh trang"/>
    <w:basedOn w:val="Normal"/>
    <w:rsid w:val="00D65114"/>
    <w:pPr>
      <w:widowControl w:val="0"/>
      <w:spacing w:before="60" w:after="60" w:line="264" w:lineRule="auto"/>
      <w:ind w:firstLine="567"/>
      <w:jc w:val="both"/>
    </w:pPr>
    <w:rPr>
      <w:rFonts w:ascii=".VnCentury Schoolbook" w:hAnsi=".VnCentury Schoolbook"/>
      <w:color w:val="000000"/>
      <w:sz w:val="22"/>
      <w:szCs w:val="22"/>
    </w:rPr>
  </w:style>
  <w:style w:type="paragraph" w:customStyle="1" w:styleId="2dongcach">
    <w:name w:val="2 dong cach"/>
    <w:basedOn w:val="Normal"/>
    <w:rsid w:val="00D65114"/>
    <w:pPr>
      <w:widowControl w:val="0"/>
      <w:overflowPunct w:val="0"/>
      <w:adjustRightInd w:val="0"/>
      <w:jc w:val="center"/>
    </w:pPr>
    <w:rPr>
      <w:rFonts w:ascii=".VnCentury Schoolbook" w:hAnsi=".VnCentury Schoolbook"/>
      <w:bCs/>
      <w:color w:val="000000"/>
      <w:sz w:val="22"/>
      <w:szCs w:val="22"/>
    </w:rPr>
  </w:style>
  <w:style w:type="table" w:styleId="TableGrid">
    <w:name w:val="Table Grid"/>
    <w:basedOn w:val="TableNormal"/>
    <w:rsid w:val="00F01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nguyenlephuonganh</dc:creator>
  <cp:lastModifiedBy>vanpc</cp:lastModifiedBy>
  <cp:revision>2</cp:revision>
  <cp:lastPrinted>2012-09-18T07:00:00Z</cp:lastPrinted>
  <dcterms:created xsi:type="dcterms:W3CDTF">2013-12-19T08:20:00Z</dcterms:created>
  <dcterms:modified xsi:type="dcterms:W3CDTF">2013-12-19T08:20:00Z</dcterms:modified>
</cp:coreProperties>
</file>